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8B8" w:rsidRDefault="004368B8">
      <w:pPr>
        <w:pStyle w:val="1"/>
        <w:tabs>
          <w:tab w:val="left" w:pos="360"/>
          <w:tab w:val="left" w:pos="720"/>
          <w:tab w:val="left" w:pos="1080"/>
        </w:tabs>
      </w:pPr>
      <w:bookmarkStart w:id="0" w:name="_GoBack"/>
      <w:bookmarkEnd w:id="0"/>
      <w:r>
        <w:t xml:space="preserve">CHAPTER </w:t>
      </w:r>
      <w:r w:rsidR="001D0E28">
        <w:t>0</w:t>
      </w:r>
      <w:r>
        <w:t>1</w:t>
      </w:r>
    </w:p>
    <w:p w:rsidR="004368B8" w:rsidRDefault="00675DE7">
      <w:pPr>
        <w:pStyle w:val="1"/>
        <w:tabs>
          <w:tab w:val="left" w:pos="360"/>
          <w:tab w:val="left" w:pos="720"/>
          <w:tab w:val="left" w:pos="1080"/>
        </w:tabs>
        <w:spacing w:after="480"/>
      </w:pPr>
      <w:r w:rsidRPr="00675DE7">
        <w:t>THE NATURE OF LAW</w:t>
      </w:r>
    </w:p>
    <w:p w:rsidR="004368B8" w:rsidRDefault="004368B8">
      <w:pPr>
        <w:tabs>
          <w:tab w:val="left" w:pos="360"/>
          <w:tab w:val="left" w:pos="720"/>
          <w:tab w:val="left" w:pos="993"/>
          <w:tab w:val="left" w:pos="1080"/>
          <w:tab w:val="left" w:pos="1425"/>
          <w:tab w:val="left" w:pos="1857"/>
          <w:tab w:val="left" w:pos="2289"/>
          <w:tab w:val="left" w:pos="2721"/>
        </w:tabs>
        <w:rPr>
          <w:rFonts w:ascii="Times New Roman" w:hAnsi="Times New Roman"/>
          <w:sz w:val="22"/>
        </w:rPr>
      </w:pPr>
    </w:p>
    <w:p w:rsidR="004368B8" w:rsidRDefault="004368B8">
      <w:pPr>
        <w:tabs>
          <w:tab w:val="left" w:pos="360"/>
          <w:tab w:val="left" w:pos="720"/>
          <w:tab w:val="left" w:pos="1080"/>
          <w:tab w:val="left" w:pos="1440"/>
          <w:tab w:val="left" w:pos="1800"/>
          <w:tab w:val="left" w:pos="2160"/>
        </w:tabs>
        <w:spacing w:before="60"/>
        <w:rPr>
          <w:rFonts w:ascii="Times New Roman" w:hAnsi="Times New Roman"/>
          <w:sz w:val="22"/>
        </w:rPr>
      </w:pPr>
      <w:r>
        <w:rPr>
          <w:rFonts w:ascii="Times New Roman" w:hAnsi="Times New Roman"/>
          <w:sz w:val="22"/>
        </w:rPr>
        <w:t xml:space="preserve">I. </w:t>
      </w:r>
      <w:r>
        <w:rPr>
          <w:rFonts w:ascii="Times New Roman" w:hAnsi="Times New Roman"/>
          <w:sz w:val="22"/>
        </w:rPr>
        <w:tab/>
      </w:r>
      <w:r>
        <w:rPr>
          <w:rFonts w:ascii="Times New Roman" w:hAnsi="Times New Roman"/>
          <w:sz w:val="22"/>
        </w:rPr>
        <w:tab/>
        <w:t>OBJECTIVES</w:t>
      </w:r>
      <w:r w:rsidR="006B3226">
        <w:rPr>
          <w:rFonts w:ascii="Times New Roman" w:hAnsi="Times New Roman"/>
          <w:sz w:val="22"/>
        </w:rPr>
        <w:t xml:space="preserve">: </w:t>
      </w:r>
    </w:p>
    <w:p w:rsidR="004368B8" w:rsidRDefault="004368B8">
      <w:pPr>
        <w:pStyle w:val="a4"/>
        <w:tabs>
          <w:tab w:val="clear" w:pos="993"/>
          <w:tab w:val="clear" w:pos="1425"/>
          <w:tab w:val="clear" w:pos="1857"/>
          <w:tab w:val="clear" w:pos="2289"/>
          <w:tab w:val="clear" w:pos="2721"/>
          <w:tab w:val="left" w:pos="360"/>
          <w:tab w:val="left" w:pos="720"/>
          <w:tab w:val="left" w:pos="1080"/>
          <w:tab w:val="left" w:pos="1440"/>
          <w:tab w:val="left" w:pos="1800"/>
          <w:tab w:val="left" w:pos="2160"/>
        </w:tabs>
        <w:spacing w:before="60"/>
        <w:ind w:left="720"/>
      </w:pPr>
      <w:r>
        <w:t xml:space="preserve">As its title suggests, this chapter seeks to acquaint students with the general nature of law. </w:t>
      </w:r>
      <w:r w:rsidR="006B3226">
        <w:t>(See also the Learning Objecti</w:t>
      </w:r>
      <w:r w:rsidR="0094105C">
        <w:t>ves added to the text for the 16</w:t>
      </w:r>
      <w:r w:rsidR="006B3226" w:rsidRPr="006B3226">
        <w:rPr>
          <w:vertAlign w:val="superscript"/>
        </w:rPr>
        <w:t>th</w:t>
      </w:r>
      <w:r w:rsidR="006B3226">
        <w:t xml:space="preserve"> edition.)  The chapter </w:t>
      </w:r>
      <w:r>
        <w:t>does this by: (1) describing the different types of law; (2) examining legal philosophy or jurisprudence; (3) sketching some of law's functions; and (4) discussing legal reasoning. The chapter’s content maximizes instructor discretion by keeping these four subjects as distinct from each other as possible. As a result, you may feel you do not need to teach or assign certain parts of the chapter. The material on the types of law, however, is basic material that any instructor probably would want to present or assign.</w:t>
      </w:r>
    </w:p>
    <w:p w:rsidR="004368B8" w:rsidRDefault="004368B8">
      <w:pPr>
        <w:widowControl/>
        <w:rPr>
          <w:rFonts w:ascii="Times New Roman" w:hAnsi="Times New Roman"/>
          <w:sz w:val="22"/>
        </w:rPr>
      </w:pPr>
    </w:p>
    <w:p w:rsidR="004368B8" w:rsidRDefault="004368B8">
      <w:pPr>
        <w:widowControl/>
        <w:rPr>
          <w:rFonts w:ascii="Times New Roman" w:eastAsia="Arial Unicode MS" w:hAnsi="Times New Roman"/>
          <w:snapToGrid/>
          <w:sz w:val="22"/>
          <w:szCs w:val="24"/>
        </w:rPr>
      </w:pPr>
      <w:r>
        <w:rPr>
          <w:rFonts w:ascii="Times New Roman" w:hAnsi="Times New Roman"/>
          <w:sz w:val="22"/>
        </w:rPr>
        <w:t>II.         ANSWERS TO INTRODUCTORY PROBLEM:</w:t>
      </w:r>
    </w:p>
    <w:p w:rsidR="001D0E28" w:rsidRDefault="001D0E28" w:rsidP="001D0E28">
      <w:pPr>
        <w:numPr>
          <w:ilvl w:val="0"/>
          <w:numId w:val="10"/>
        </w:numPr>
        <w:tabs>
          <w:tab w:val="left" w:pos="360"/>
          <w:tab w:val="left" w:pos="720"/>
          <w:tab w:val="left" w:pos="1080"/>
          <w:tab w:val="left" w:pos="1440"/>
          <w:tab w:val="left" w:pos="1800"/>
          <w:tab w:val="left" w:pos="2160"/>
        </w:tabs>
        <w:rPr>
          <w:rFonts w:ascii="Times New Roman" w:hAnsi="Times New Roman"/>
          <w:sz w:val="22"/>
        </w:rPr>
      </w:pPr>
      <w:r>
        <w:rPr>
          <w:rFonts w:ascii="Times New Roman" w:hAnsi="Times New Roman"/>
          <w:sz w:val="22"/>
        </w:rPr>
        <w:t>See the major types of law discussed in Chapter 1 (especially constitutions, statutes, common law, administrative regulations and decisions, and treaties).</w:t>
      </w:r>
    </w:p>
    <w:p w:rsidR="001D0E28" w:rsidRDefault="001D0E28" w:rsidP="001D0E28">
      <w:pPr>
        <w:numPr>
          <w:ilvl w:val="0"/>
          <w:numId w:val="10"/>
        </w:numPr>
        <w:tabs>
          <w:tab w:val="left" w:pos="360"/>
          <w:tab w:val="left" w:pos="720"/>
          <w:tab w:val="left" w:pos="1080"/>
          <w:tab w:val="left" w:pos="1440"/>
          <w:tab w:val="left" w:pos="1800"/>
          <w:tab w:val="left" w:pos="2160"/>
        </w:tabs>
        <w:rPr>
          <w:rFonts w:ascii="Times New Roman" w:hAnsi="Times New Roman"/>
          <w:sz w:val="22"/>
        </w:rPr>
      </w:pPr>
      <w:r>
        <w:rPr>
          <w:rFonts w:ascii="Times New Roman" w:hAnsi="Times New Roman"/>
          <w:sz w:val="22"/>
        </w:rPr>
        <w:t xml:space="preserve">See the schools of jurisprudence </w:t>
      </w:r>
      <w:r w:rsidRPr="00B2592E">
        <w:rPr>
          <w:rFonts w:ascii="Times New Roman" w:hAnsi="Times New Roman"/>
          <w:sz w:val="22"/>
        </w:rPr>
        <w:t>discussed</w:t>
      </w:r>
      <w:r>
        <w:rPr>
          <w:rFonts w:ascii="Times New Roman" w:hAnsi="Times New Roman"/>
          <w:sz w:val="22"/>
        </w:rPr>
        <w:t xml:space="preserve"> in Chapter 1.</w:t>
      </w:r>
    </w:p>
    <w:p w:rsidR="001D0E28" w:rsidRDefault="001D0E28" w:rsidP="001D0E28">
      <w:pPr>
        <w:numPr>
          <w:ilvl w:val="0"/>
          <w:numId w:val="10"/>
        </w:numPr>
        <w:tabs>
          <w:tab w:val="left" w:pos="360"/>
          <w:tab w:val="left" w:pos="720"/>
          <w:tab w:val="left" w:pos="1080"/>
          <w:tab w:val="left" w:pos="1440"/>
          <w:tab w:val="left" w:pos="1800"/>
          <w:tab w:val="left" w:pos="2160"/>
        </w:tabs>
        <w:rPr>
          <w:rFonts w:ascii="Times New Roman" w:hAnsi="Times New Roman"/>
          <w:sz w:val="22"/>
        </w:rPr>
      </w:pPr>
      <w:r>
        <w:rPr>
          <w:rFonts w:ascii="Times New Roman" w:hAnsi="Times New Roman"/>
          <w:sz w:val="22"/>
        </w:rPr>
        <w:t>See the "Legal Reasoning" section of Chapter 1 for discussion of the role courts play in making and interpreting law.  That section also discusses two important methods of legal reasoning: case law reasoning and statutory interpretation.</w:t>
      </w:r>
    </w:p>
    <w:p w:rsidR="001D0E28" w:rsidRDefault="001D0E28" w:rsidP="001D0E28">
      <w:pPr>
        <w:numPr>
          <w:ilvl w:val="0"/>
          <w:numId w:val="10"/>
        </w:numPr>
        <w:tabs>
          <w:tab w:val="left" w:pos="360"/>
          <w:tab w:val="left" w:pos="720"/>
          <w:tab w:val="left" w:pos="1080"/>
          <w:tab w:val="left" w:pos="1440"/>
          <w:tab w:val="left" w:pos="1800"/>
          <w:tab w:val="left" w:pos="2160"/>
        </w:tabs>
        <w:rPr>
          <w:rFonts w:ascii="Times New Roman" w:hAnsi="Times New Roman"/>
          <w:sz w:val="22"/>
        </w:rPr>
      </w:pPr>
      <w:r>
        <w:rPr>
          <w:rFonts w:ascii="Times New Roman" w:hAnsi="Times New Roman"/>
          <w:sz w:val="22"/>
          <w:szCs w:val="22"/>
        </w:rPr>
        <w:t>The question about the relationship between legal standards of behavior and notions of ethical conduct is largely rhetorical at this point.  It will be explored more fully at later points.</w:t>
      </w:r>
    </w:p>
    <w:p w:rsidR="004368B8" w:rsidRDefault="004368B8">
      <w:pPr>
        <w:tabs>
          <w:tab w:val="left" w:pos="360"/>
          <w:tab w:val="left" w:pos="720"/>
          <w:tab w:val="left" w:pos="1080"/>
          <w:tab w:val="left" w:pos="1440"/>
          <w:tab w:val="left" w:pos="1800"/>
          <w:tab w:val="left" w:pos="2160"/>
        </w:tabs>
        <w:spacing w:before="60"/>
        <w:rPr>
          <w:rFonts w:ascii="Times New Roman" w:hAnsi="Times New Roman"/>
          <w:sz w:val="22"/>
        </w:rPr>
      </w:pPr>
    </w:p>
    <w:p w:rsidR="004368B8" w:rsidRDefault="004368B8">
      <w:pPr>
        <w:tabs>
          <w:tab w:val="left" w:pos="360"/>
          <w:tab w:val="left" w:pos="720"/>
          <w:tab w:val="left" w:pos="1080"/>
          <w:tab w:val="left" w:pos="1440"/>
          <w:tab w:val="left" w:pos="1800"/>
          <w:tab w:val="left" w:pos="2160"/>
        </w:tabs>
        <w:spacing w:before="60"/>
        <w:rPr>
          <w:rFonts w:ascii="Times New Roman" w:hAnsi="Times New Roman"/>
          <w:sz w:val="22"/>
        </w:rPr>
      </w:pPr>
      <w:r>
        <w:rPr>
          <w:rFonts w:ascii="Times New Roman" w:hAnsi="Times New Roman"/>
          <w:sz w:val="22"/>
        </w:rPr>
        <w:t xml:space="preserve">III. </w:t>
      </w:r>
      <w:r>
        <w:rPr>
          <w:rFonts w:ascii="Times New Roman" w:hAnsi="Times New Roman"/>
          <w:sz w:val="22"/>
        </w:rPr>
        <w:tab/>
      </w:r>
      <w:r>
        <w:rPr>
          <w:rFonts w:ascii="Times New Roman" w:hAnsi="Times New Roman"/>
          <w:sz w:val="22"/>
        </w:rPr>
        <w:tab/>
        <w:t>SUGGESTIONS FOR LECTURE PREPARATION:</w:t>
      </w:r>
    </w:p>
    <w:p w:rsidR="004368B8" w:rsidRDefault="004368B8">
      <w:pPr>
        <w:tabs>
          <w:tab w:val="left" w:pos="360"/>
          <w:tab w:val="left" w:pos="720"/>
          <w:tab w:val="left" w:pos="1080"/>
          <w:tab w:val="left" w:pos="1440"/>
          <w:tab w:val="left" w:pos="1800"/>
          <w:tab w:val="left" w:pos="2160"/>
        </w:tabs>
        <w:ind w:left="720"/>
        <w:rPr>
          <w:rFonts w:ascii="Times New Roman" w:hAnsi="Times New Roman"/>
          <w:sz w:val="22"/>
        </w:rPr>
      </w:pPr>
      <w:r>
        <w:rPr>
          <w:rFonts w:ascii="Times New Roman" w:hAnsi="Times New Roman"/>
          <w:sz w:val="22"/>
        </w:rPr>
        <w:t>A.</w:t>
      </w:r>
      <w:r>
        <w:rPr>
          <w:rFonts w:ascii="Times New Roman" w:hAnsi="Times New Roman"/>
          <w:sz w:val="22"/>
        </w:rPr>
        <w:tab/>
        <w:t>Types of Law</w:t>
      </w:r>
    </w:p>
    <w:p w:rsidR="004368B8" w:rsidRDefault="004368B8">
      <w:pPr>
        <w:tabs>
          <w:tab w:val="left" w:pos="360"/>
          <w:tab w:val="left" w:pos="720"/>
          <w:tab w:val="left" w:pos="1080"/>
          <w:tab w:val="left" w:pos="1440"/>
          <w:tab w:val="left" w:pos="1800"/>
          <w:tab w:val="left" w:pos="2160"/>
        </w:tabs>
        <w:ind w:left="1440" w:hanging="360"/>
        <w:rPr>
          <w:rFonts w:ascii="Times New Roman" w:hAnsi="Times New Roman"/>
          <w:sz w:val="22"/>
        </w:rPr>
      </w:pPr>
      <w:r>
        <w:rPr>
          <w:rFonts w:ascii="Times New Roman" w:hAnsi="Times New Roman"/>
          <w:sz w:val="22"/>
        </w:rPr>
        <w:t>1.</w:t>
      </w:r>
      <w:r>
        <w:rPr>
          <w:rFonts w:ascii="Times New Roman" w:hAnsi="Times New Roman"/>
          <w:sz w:val="22"/>
        </w:rPr>
        <w:tab/>
        <w:t xml:space="preserve">The material in this section can be viewed as one response to the question: "What is law?"  The section answers this question by listing and describing the kinds of rules that commonly are regarded as law in the </w:t>
      </w:r>
      <w:smartTag w:uri="urn:schemas-microsoft-com:office:smarttags" w:element="place">
        <w:smartTag w:uri="urn:schemas-microsoft-com:office:smarttags" w:element="country-region">
          <w:r>
            <w:rPr>
              <w:rFonts w:ascii="Times New Roman" w:hAnsi="Times New Roman"/>
              <w:sz w:val="22"/>
            </w:rPr>
            <w:t>United States</w:t>
          </w:r>
        </w:smartTag>
      </w:smartTag>
      <w:r>
        <w:rPr>
          <w:rFonts w:ascii="Times New Roman" w:hAnsi="Times New Roman"/>
          <w:sz w:val="22"/>
        </w:rPr>
        <w:t>.  What unites most of them is their issuance by a legitimate political authority.  Remind students that he first question in the chapter’s opening vignette concerns types of law.</w:t>
      </w:r>
    </w:p>
    <w:p w:rsidR="004368B8" w:rsidRDefault="004368B8">
      <w:pPr>
        <w:tabs>
          <w:tab w:val="left" w:pos="360"/>
          <w:tab w:val="left" w:pos="720"/>
          <w:tab w:val="left" w:pos="1080"/>
          <w:tab w:val="left" w:pos="1440"/>
          <w:tab w:val="left" w:pos="1800"/>
          <w:tab w:val="left" w:pos="2160"/>
        </w:tabs>
        <w:ind w:left="1440" w:hanging="360"/>
        <w:rPr>
          <w:rFonts w:ascii="Times New Roman" w:hAnsi="Times New Roman"/>
          <w:sz w:val="22"/>
        </w:rPr>
      </w:pPr>
      <w:r>
        <w:rPr>
          <w:rFonts w:ascii="Times New Roman" w:hAnsi="Times New Roman"/>
          <w:sz w:val="22"/>
        </w:rPr>
        <w:t>2.</w:t>
      </w:r>
      <w:r>
        <w:rPr>
          <w:rFonts w:ascii="Times New Roman" w:hAnsi="Times New Roman"/>
          <w:sz w:val="22"/>
        </w:rPr>
        <w:tab/>
        <w:t xml:space="preserve">We do not use the term "sources of law" to identify this material because in ordinary language the things described </w:t>
      </w:r>
      <w:r>
        <w:rPr>
          <w:rFonts w:ascii="Times New Roman" w:hAnsi="Times New Roman"/>
          <w:i/>
          <w:sz w:val="22"/>
        </w:rPr>
        <w:t>are</w:t>
      </w:r>
      <w:r>
        <w:rPr>
          <w:rFonts w:ascii="Times New Roman" w:hAnsi="Times New Roman"/>
          <w:sz w:val="22"/>
        </w:rPr>
        <w:t xml:space="preserve"> law rather than sources of law.  A statute, for instance, is colloquially referred to as a law, and the legislature is ordinarily regarded as its source.</w:t>
      </w:r>
    </w:p>
    <w:p w:rsidR="004368B8" w:rsidRDefault="004368B8">
      <w:pPr>
        <w:pStyle w:val="2"/>
        <w:tabs>
          <w:tab w:val="left" w:pos="1440"/>
          <w:tab w:val="left" w:pos="1800"/>
          <w:tab w:val="left" w:pos="2160"/>
        </w:tabs>
        <w:spacing w:before="0"/>
        <w:ind w:left="1440"/>
      </w:pPr>
      <w:r>
        <w:t>3.</w:t>
      </w:r>
      <w:r>
        <w:tab/>
        <w:t>Provide students an overview (including examples) of each of the types of law outlined in the text.  Keep in mind the following:</w:t>
      </w:r>
    </w:p>
    <w:p w:rsidR="001D0E28" w:rsidRDefault="004368B8">
      <w:pPr>
        <w:pStyle w:val="3"/>
        <w:numPr>
          <w:ilvl w:val="0"/>
          <w:numId w:val="1"/>
        </w:numPr>
        <w:tabs>
          <w:tab w:val="left" w:pos="1440"/>
          <w:tab w:val="left" w:pos="2160"/>
        </w:tabs>
        <w:spacing w:before="0"/>
      </w:pPr>
      <w:r>
        <w:t>The text's description of the functions served by constitutions and of separation of powers and federalism is traditional and somewhat limited. You might want to add that, as Chapter 3 suggests, the political and legal reality often differs from the accepted homilies in these areas.</w:t>
      </w:r>
    </w:p>
    <w:p w:rsidR="004368B8" w:rsidRDefault="001D0E28" w:rsidP="001D0E28">
      <w:r>
        <w:br w:type="page"/>
      </w:r>
    </w:p>
    <w:p w:rsidR="004368B8" w:rsidRDefault="0094105C">
      <w:pPr>
        <w:pStyle w:val="3"/>
        <w:numPr>
          <w:ilvl w:val="0"/>
          <w:numId w:val="1"/>
        </w:numPr>
        <w:tabs>
          <w:tab w:val="left" w:pos="1440"/>
          <w:tab w:val="left" w:pos="2160"/>
        </w:tabs>
        <w:spacing w:before="0"/>
      </w:pPr>
      <w:r>
        <w:t>Note the role played by courts—most notably the Supreme Court—</w:t>
      </w:r>
      <w:r w:rsidR="004368B8">
        <w:t>in interpreting the U.S. Constitution.  Comment on Presidents’ attempts to shape the judiciary through appointments (subject to Senate confirmation) to the federal district courts, courts of appeal, and the Supreme Court.  Mention confirmation fights that have occurred through the years (e.g., regarding Bork and Thomas</w:t>
      </w:r>
      <w:r w:rsidR="00DF6CB7">
        <w:t>; perhaps Alito</w:t>
      </w:r>
      <w:r w:rsidR="006B3226">
        <w:t>, Sotomayor, and Kagan</w:t>
      </w:r>
      <w:r w:rsidR="00DF6CB7">
        <w:t xml:space="preserve"> </w:t>
      </w:r>
      <w:r w:rsidR="006B3226">
        <w:t xml:space="preserve">in more recent years, though the fights in those instances were </w:t>
      </w:r>
      <w:r w:rsidR="00DF6CB7">
        <w:t>less intense</w:t>
      </w:r>
      <w:r w:rsidR="004368B8">
        <w:t>).  Provide examples of Supreme Court justices who proved to be consistent with the probable expectations of the Presidents who appointed them and of justices who most likely were disappointments to the appointing President.  Burger, Rehnquist, Scalia, Thomas, and Ginsburg would be examples of the former.  Warren, Brennan, Blackmun, Stevens, and Souter would be examples of the latter.</w:t>
      </w:r>
    </w:p>
    <w:p w:rsidR="004368B8" w:rsidRDefault="004368B8">
      <w:pPr>
        <w:pStyle w:val="3"/>
        <w:numPr>
          <w:ilvl w:val="0"/>
          <w:numId w:val="1"/>
        </w:numPr>
        <w:tabs>
          <w:tab w:val="left" w:pos="1440"/>
          <w:tab w:val="left" w:pos="2160"/>
        </w:tabs>
        <w:spacing w:before="0"/>
      </w:pPr>
      <w:r>
        <w:t>The material on uniform acts is included here because students will so often encounter uniform acts throughout the text.  Of course, you should emphasize that uniform acts are not law until enacted in whole or in part by a legislature, and that state-by-state variations from the original text are common.</w:t>
      </w:r>
    </w:p>
    <w:p w:rsidR="004368B8" w:rsidRDefault="004368B8">
      <w:pPr>
        <w:pStyle w:val="3"/>
        <w:numPr>
          <w:ilvl w:val="0"/>
          <w:numId w:val="1"/>
        </w:numPr>
        <w:tabs>
          <w:tab w:val="left" w:pos="1440"/>
          <w:tab w:val="left" w:pos="2160"/>
        </w:tabs>
        <w:spacing w:before="0"/>
      </w:pPr>
      <w:r>
        <w:t>Emphasize that common law applies only when there is no other applicable type of law and that statutes have a controlling effect with regard to the common law.  Therefore, Congress or a state legislature may enact a statute that abolishes or modifies a common law rule.</w:t>
      </w:r>
      <w:r w:rsidR="00B2592E">
        <w:t xml:space="preserve"> </w:t>
      </w:r>
      <w:r w:rsidR="00B6720E">
        <w:rPr>
          <w:i/>
        </w:rPr>
        <w:t>Advance Dental Care, Inc. v. SunTrust Bank</w:t>
      </w:r>
      <w:r w:rsidR="00DF6CB7">
        <w:t xml:space="preserve">, which appears somewhat later in the chapter, illustrates this point. (See the later discussion of this case.)  </w:t>
      </w:r>
      <w:r w:rsidR="00354528">
        <w:t>A</w:t>
      </w:r>
      <w:r w:rsidR="00DF6CB7">
        <w:t xml:space="preserve"> portion of the</w:t>
      </w:r>
      <w:r w:rsidR="00354528">
        <w:t xml:space="preserve"> Cyberlaw in Action box (p.</w:t>
      </w:r>
      <w:r w:rsidR="00B6720E">
        <w:t>16</w:t>
      </w:r>
      <w:r w:rsidR="00354528">
        <w:t>) does as well</w:t>
      </w:r>
      <w:r w:rsidR="00DF6CB7">
        <w:t xml:space="preserve">.  </w:t>
      </w:r>
      <w:r w:rsidR="00B2592E">
        <w:t>In addition, see Problem #</w:t>
      </w:r>
      <w:r w:rsidR="00B6720E">
        <w:t>4</w:t>
      </w:r>
      <w:r w:rsidR="00DF6CB7">
        <w:t xml:space="preserve">. </w:t>
      </w:r>
      <w:r>
        <w:t>Note, also, that a legislature may choose to enact a statute that codifies what formerly was only a common law rule.</w:t>
      </w:r>
    </w:p>
    <w:p w:rsidR="006B3226" w:rsidRDefault="0094105C" w:rsidP="006B3226">
      <w:pPr>
        <w:pStyle w:val="3"/>
        <w:numPr>
          <w:ilvl w:val="0"/>
          <w:numId w:val="1"/>
        </w:numPr>
        <w:tabs>
          <w:tab w:val="left" w:pos="1440"/>
          <w:tab w:val="left" w:pos="2160"/>
        </w:tabs>
        <w:spacing w:before="0"/>
      </w:pPr>
      <w:r>
        <w:rPr>
          <w:i/>
        </w:rPr>
        <w:t>Price v. High Pointe Oil Company, Inc.</w:t>
      </w:r>
      <w:r w:rsidR="006B3226" w:rsidRPr="006B3226">
        <w:rPr>
          <w:i/>
        </w:rPr>
        <w:t xml:space="preserve"> </w:t>
      </w:r>
      <w:r w:rsidR="006B3226">
        <w:t>(p. 4</w:t>
      </w:r>
      <w:r w:rsidR="00B2592E">
        <w:t xml:space="preserve">):  </w:t>
      </w:r>
      <w:r w:rsidR="00BF0829">
        <w:t>High Point</w:t>
      </w:r>
      <w:r w:rsidR="00E74EE7">
        <w:t>e</w:t>
      </w:r>
      <w:r w:rsidR="00BF0829">
        <w:t xml:space="preserve"> Oil Company erroneously filled Beckie Price’s basement with 400 gallons of oil</w:t>
      </w:r>
      <w:r w:rsidR="0081284F">
        <w:t>, which destroyed her house and all of her personal belongings.  The oil came in through a</w:t>
      </w:r>
      <w:r w:rsidR="00E74EE7">
        <w:t>n</w:t>
      </w:r>
      <w:r w:rsidR="0081284F">
        <w:t xml:space="preserve"> </w:t>
      </w:r>
      <w:r w:rsidR="00E74EE7">
        <w:t>“oil fill pipe” that used to lead to an oil furnace in Price’s basement.  A year prior, however, Price had replaced the oil furnace with a propane model and had cancelled her contract with High Pointe to keep oil in the furnace. High Pointe somehow included her address on a “keep full” list, leading to the contamination.  Although Price’s land was remediated, her house rebuilt, and her belongings cleaned or replaced, she sued High Pointe for negligence seeking noneconomic damages. After a jury awarded her $100,000 and the appellate court affirmed, the Michigan Supreme Court had to decide whether to adopt a new common law rule to allow the recovery of noneconomic damages for the negligent destruction of real proper</w:t>
      </w:r>
      <w:r w:rsidR="00B95BE3">
        <w:t>ty.  It declined to do so.</w:t>
      </w:r>
      <w:r w:rsidR="00E74EE7">
        <w:t xml:space="preserve"> </w:t>
      </w:r>
    </w:p>
    <w:p w:rsidR="001D0E28" w:rsidRDefault="006B3226" w:rsidP="006B3226">
      <w:pPr>
        <w:pStyle w:val="3"/>
        <w:tabs>
          <w:tab w:val="left" w:pos="1440"/>
          <w:tab w:val="left" w:pos="2160"/>
        </w:tabs>
        <w:spacing w:before="0"/>
        <w:ind w:left="1800" w:firstLine="0"/>
      </w:pPr>
      <w:r>
        <w:tab/>
      </w:r>
      <w:r w:rsidR="00B2592E" w:rsidRPr="006B3226">
        <w:rPr>
          <w:i/>
        </w:rPr>
        <w:t>Points for Discussion</w:t>
      </w:r>
      <w:r w:rsidR="00B2592E">
        <w:t xml:space="preserve">:  </w:t>
      </w:r>
      <w:r w:rsidR="005D65B6">
        <w:t>Have a student summarize the basi</w:t>
      </w:r>
      <w:r w:rsidR="0057488E">
        <w:t>c facts and the procedural history of the case</w:t>
      </w:r>
      <w:r w:rsidR="00B601A9">
        <w:t xml:space="preserve">. </w:t>
      </w:r>
      <w:r w:rsidR="00BF172C">
        <w:t xml:space="preserve">Ask the students why the court begins its discussion with the following statement: “[a]bsent any relevant statute, the answer to that question [whether noneconomic damages are recoverable for the negligent destruction of real property] is a matter of common law.” (This may be a good way to highlight the doctrine in point d. above.)  </w:t>
      </w:r>
      <w:r w:rsidR="00B95BE3">
        <w:t>Ask the students to describe the longstanding common law r</w:t>
      </w:r>
      <w:r w:rsidR="00BF172C">
        <w:t>ule at issue. (Negligent destruction of property is remedied by awarding damages equal to the fair market value of destroyed property or the repair cost of damaged property.)  Note that simply because the law has been static and consistent for a long time does not mean that it cannot be altered.  Thus, the Michigan Supreme Court must determine whether it would be appropriate to modify the common law rule.  Ask the students to summarize the arguments for why the Court refused to do so in this case. (The policy arguments upon which the court relies are summarized in the sample case brief on page 23 of the text.)</w:t>
      </w:r>
      <w:r w:rsidR="00600F46">
        <w:t xml:space="preserve">  </w:t>
      </w:r>
    </w:p>
    <w:p w:rsidR="00B2592E" w:rsidRDefault="00600F46" w:rsidP="00600F46">
      <w:pPr>
        <w:pStyle w:val="3"/>
        <w:tabs>
          <w:tab w:val="left" w:pos="1440"/>
          <w:tab w:val="left" w:pos="2160"/>
        </w:tabs>
        <w:spacing w:before="0"/>
        <w:ind w:left="1800" w:firstLine="0"/>
      </w:pPr>
      <w:r>
        <w:rPr>
          <w:i/>
        </w:rPr>
        <w:tab/>
      </w:r>
      <w:r>
        <w:t xml:space="preserve">For instructors who cover the common law and case law reasoning in the same session, be sure to note that the first half of the </w:t>
      </w:r>
      <w:r>
        <w:rPr>
          <w:i/>
        </w:rPr>
        <w:t>Price</w:t>
      </w:r>
      <w:r>
        <w:t xml:space="preserve"> case is a prototypical example of case law reasoning. The approach of the </w:t>
      </w:r>
      <w:r>
        <w:rPr>
          <w:i/>
        </w:rPr>
        <w:t xml:space="preserve">Price </w:t>
      </w:r>
      <w:r>
        <w:t xml:space="preserve">court to that process can be compared and contrasted to the approach of the </w:t>
      </w:r>
      <w:r>
        <w:rPr>
          <w:i/>
        </w:rPr>
        <w:t xml:space="preserve">Hagan </w:t>
      </w:r>
      <w:r>
        <w:t>court later in the chapter.</w:t>
      </w:r>
    </w:p>
    <w:p w:rsidR="00E62DD3" w:rsidRDefault="006C1C20" w:rsidP="00E62DD3">
      <w:pPr>
        <w:tabs>
          <w:tab w:val="left" w:pos="360"/>
          <w:tab w:val="left" w:pos="720"/>
          <w:tab w:val="left" w:pos="1080"/>
          <w:tab w:val="left" w:pos="1440"/>
          <w:tab w:val="left" w:pos="1800"/>
          <w:tab w:val="left" w:pos="2160"/>
        </w:tabs>
        <w:ind w:left="1800" w:hanging="360"/>
        <w:rPr>
          <w:rFonts w:ascii="Times New Roman" w:hAnsi="Times New Roman"/>
          <w:sz w:val="22"/>
        </w:rPr>
      </w:pPr>
      <w:r>
        <w:rPr>
          <w:rFonts w:ascii="Times New Roman" w:hAnsi="Times New Roman"/>
          <w:sz w:val="22"/>
        </w:rPr>
        <w:t>f</w:t>
      </w:r>
      <w:r w:rsidR="004368B8">
        <w:rPr>
          <w:rFonts w:ascii="Times New Roman" w:hAnsi="Times New Roman"/>
          <w:sz w:val="22"/>
        </w:rPr>
        <w:t>.</w:t>
      </w:r>
      <w:r w:rsidR="004368B8">
        <w:rPr>
          <w:rFonts w:ascii="Times New Roman" w:hAnsi="Times New Roman"/>
          <w:sz w:val="22"/>
        </w:rPr>
        <w:tab/>
        <w:t xml:space="preserve">The text's statement that, </w:t>
      </w:r>
      <w:r w:rsidR="00BF172C">
        <w:rPr>
          <w:rFonts w:ascii="Times New Roman" w:hAnsi="Times New Roman"/>
          <w:sz w:val="22"/>
        </w:rPr>
        <w:t>as a general mater</w:t>
      </w:r>
      <w:r w:rsidR="004368B8">
        <w:rPr>
          <w:rFonts w:ascii="Times New Roman" w:hAnsi="Times New Roman"/>
          <w:sz w:val="22"/>
        </w:rPr>
        <w:t>, common law exists on</w:t>
      </w:r>
      <w:r w:rsidR="00DF6CB7">
        <w:rPr>
          <w:rFonts w:ascii="Times New Roman" w:hAnsi="Times New Roman"/>
          <w:sz w:val="22"/>
        </w:rPr>
        <w:t xml:space="preserve">ly at the state level implicitly recognizes </w:t>
      </w:r>
      <w:r w:rsidR="004368B8">
        <w:rPr>
          <w:rFonts w:ascii="Times New Roman" w:hAnsi="Times New Roman"/>
          <w:sz w:val="22"/>
        </w:rPr>
        <w:t xml:space="preserve">the Supreme Court's decision in </w:t>
      </w:r>
      <w:r w:rsidR="004368B8">
        <w:rPr>
          <w:rFonts w:ascii="Times New Roman" w:hAnsi="Times New Roman"/>
          <w:i/>
          <w:sz w:val="22"/>
        </w:rPr>
        <w:t>Erie R.R. v. Tompkins</w:t>
      </w:r>
      <w:r w:rsidR="004368B8">
        <w:rPr>
          <w:rFonts w:ascii="Times New Roman" w:hAnsi="Times New Roman"/>
          <w:sz w:val="22"/>
        </w:rPr>
        <w:t xml:space="preserve">, 304 U.S. 64 (1938), which supposedly eliminated the "federal common law" that the federal courts had previously used in some diversity cases.  </w:t>
      </w:r>
      <w:smartTag w:uri="urn:schemas-microsoft-com:office:smarttags" w:element="place">
        <w:smartTag w:uri="urn:schemas-microsoft-com:office:smarttags" w:element="City">
          <w:r w:rsidR="004368B8">
            <w:rPr>
              <w:rFonts w:ascii="Times New Roman" w:hAnsi="Times New Roman"/>
              <w:i/>
              <w:sz w:val="22"/>
            </w:rPr>
            <w:t>Erie</w:t>
          </w:r>
        </w:smartTag>
      </w:smartTag>
      <w:r w:rsidR="004368B8">
        <w:rPr>
          <w:rFonts w:ascii="Times New Roman" w:hAnsi="Times New Roman"/>
          <w:i/>
          <w:sz w:val="22"/>
        </w:rPr>
        <w:t>'s</w:t>
      </w:r>
      <w:r w:rsidR="004368B8">
        <w:rPr>
          <w:rFonts w:ascii="Times New Roman" w:hAnsi="Times New Roman"/>
          <w:sz w:val="22"/>
        </w:rPr>
        <w:t xml:space="preserve"> progeny</w:t>
      </w:r>
      <w:r w:rsidR="004368B8">
        <w:rPr>
          <w:rFonts w:ascii="Times New Roman" w:hAnsi="Times New Roman"/>
          <w:sz w:val="22"/>
        </w:rPr>
        <w:noBreakHyphen/>
      </w:r>
      <w:r w:rsidR="004368B8">
        <w:rPr>
          <w:rFonts w:ascii="Times New Roman" w:hAnsi="Times New Roman"/>
          <w:sz w:val="22"/>
        </w:rPr>
        <w:noBreakHyphen/>
        <w:t xml:space="preserve">and the related question whether there still is a federal common law despite </w:t>
      </w:r>
      <w:r w:rsidR="004368B8">
        <w:rPr>
          <w:rFonts w:ascii="Times New Roman" w:hAnsi="Times New Roman"/>
          <w:i/>
          <w:sz w:val="22"/>
        </w:rPr>
        <w:t>Erie</w:t>
      </w:r>
      <w:r w:rsidR="004368B8">
        <w:rPr>
          <w:rFonts w:ascii="Times New Roman" w:hAnsi="Times New Roman"/>
          <w:sz w:val="22"/>
        </w:rPr>
        <w:noBreakHyphen/>
      </w:r>
      <w:r w:rsidR="004368B8">
        <w:rPr>
          <w:rFonts w:ascii="Times New Roman" w:hAnsi="Times New Roman"/>
          <w:sz w:val="22"/>
        </w:rPr>
        <w:noBreakHyphen/>
        <w:t>are well beyond the scope of this text.</w:t>
      </w:r>
    </w:p>
    <w:p w:rsidR="00E62DD3" w:rsidRDefault="00E62DD3" w:rsidP="00E62DD3">
      <w:pPr>
        <w:tabs>
          <w:tab w:val="left" w:pos="360"/>
          <w:tab w:val="left" w:pos="720"/>
          <w:tab w:val="left" w:pos="1080"/>
          <w:tab w:val="left" w:pos="1440"/>
          <w:tab w:val="left" w:pos="1800"/>
          <w:tab w:val="left" w:pos="2160"/>
        </w:tabs>
        <w:ind w:left="1800" w:hanging="360"/>
        <w:rPr>
          <w:rFonts w:ascii="Times New Roman" w:hAnsi="Times New Roman"/>
          <w:sz w:val="22"/>
        </w:rPr>
      </w:pPr>
      <w:r>
        <w:rPr>
          <w:rFonts w:ascii="Times New Roman" w:hAnsi="Times New Roman"/>
          <w:sz w:val="22"/>
        </w:rPr>
        <w:t>g.</w:t>
      </w:r>
      <w:r>
        <w:rPr>
          <w:rFonts w:ascii="Times New Roman" w:hAnsi="Times New Roman"/>
          <w:sz w:val="22"/>
        </w:rPr>
        <w:tab/>
      </w:r>
      <w:r w:rsidR="004368B8">
        <w:rPr>
          <w:rFonts w:ascii="Times New Roman" w:hAnsi="Times New Roman"/>
          <w:sz w:val="22"/>
        </w:rPr>
        <w:t xml:space="preserve">Some discussion of the </w:t>
      </w:r>
      <w:r w:rsidR="004368B8">
        <w:rPr>
          <w:rFonts w:ascii="Times New Roman" w:hAnsi="Times New Roman"/>
          <w:i/>
          <w:sz w:val="22"/>
        </w:rPr>
        <w:t>Restatements</w:t>
      </w:r>
      <w:r w:rsidR="004368B8">
        <w:rPr>
          <w:rFonts w:ascii="Times New Roman" w:hAnsi="Times New Roman"/>
          <w:sz w:val="22"/>
        </w:rPr>
        <w:t xml:space="preserve"> is included in Chapte</w:t>
      </w:r>
      <w:r w:rsidR="006C1C20">
        <w:rPr>
          <w:rFonts w:ascii="Times New Roman" w:hAnsi="Times New Roman"/>
          <w:sz w:val="22"/>
        </w:rPr>
        <w:t xml:space="preserve">r 1 for the same reason that the chapter discusses uniform acts.  References to the </w:t>
      </w:r>
      <w:r w:rsidR="006C1C20" w:rsidRPr="006C1C20">
        <w:rPr>
          <w:rFonts w:ascii="Times New Roman" w:hAnsi="Times New Roman"/>
          <w:i/>
          <w:sz w:val="22"/>
        </w:rPr>
        <w:t>Restatements</w:t>
      </w:r>
      <w:r w:rsidR="006C1C20">
        <w:rPr>
          <w:rFonts w:ascii="Times New Roman" w:hAnsi="Times New Roman"/>
          <w:sz w:val="22"/>
        </w:rPr>
        <w:t xml:space="preserve"> </w:t>
      </w:r>
      <w:r w:rsidR="004368B8">
        <w:rPr>
          <w:rFonts w:ascii="Times New Roman" w:hAnsi="Times New Roman"/>
          <w:sz w:val="22"/>
        </w:rPr>
        <w:t xml:space="preserve">appear frequently in the torts, contracts, and agency chapters of this text.  Emphasize that </w:t>
      </w:r>
      <w:r w:rsidR="004368B8">
        <w:rPr>
          <w:rFonts w:ascii="Times New Roman" w:hAnsi="Times New Roman"/>
          <w:i/>
          <w:sz w:val="22"/>
        </w:rPr>
        <w:t>Restatement</w:t>
      </w:r>
      <w:r w:rsidR="004368B8">
        <w:rPr>
          <w:rFonts w:ascii="Times New Roman" w:hAnsi="Times New Roman"/>
          <w:sz w:val="22"/>
        </w:rPr>
        <w:t xml:space="preserve"> rules are not law unless adopted </w:t>
      </w:r>
      <w:r w:rsidR="006C1C20">
        <w:rPr>
          <w:rFonts w:ascii="Times New Roman" w:hAnsi="Times New Roman"/>
          <w:sz w:val="22"/>
        </w:rPr>
        <w:t>by a court as a rule of decision</w:t>
      </w:r>
      <w:r w:rsidR="004368B8">
        <w:rPr>
          <w:rFonts w:ascii="Times New Roman" w:hAnsi="Times New Roman"/>
          <w:sz w:val="22"/>
        </w:rPr>
        <w:t xml:space="preserve">.  Also, you might want to add that the </w:t>
      </w:r>
      <w:r w:rsidR="004368B8">
        <w:rPr>
          <w:rFonts w:ascii="Times New Roman" w:hAnsi="Times New Roman"/>
          <w:i/>
          <w:sz w:val="22"/>
        </w:rPr>
        <w:t>Restatements</w:t>
      </w:r>
      <w:r w:rsidR="004368B8">
        <w:rPr>
          <w:rFonts w:ascii="Times New Roman" w:hAnsi="Times New Roman"/>
          <w:sz w:val="22"/>
        </w:rPr>
        <w:t xml:space="preserve"> have been subjected to conflicting criticisms. Sometimes, they are criticized for "leading" the courts in the fashion suggested in the text.  And sometimes they are criticized as misguided attempts to rigidly state rules that are always changing with circumstances.</w:t>
      </w:r>
    </w:p>
    <w:p w:rsidR="00E62DD3" w:rsidRDefault="00E62DD3" w:rsidP="00E62DD3">
      <w:pPr>
        <w:tabs>
          <w:tab w:val="left" w:pos="360"/>
          <w:tab w:val="left" w:pos="720"/>
          <w:tab w:val="left" w:pos="1080"/>
          <w:tab w:val="left" w:pos="1440"/>
          <w:tab w:val="left" w:pos="1800"/>
          <w:tab w:val="left" w:pos="2160"/>
        </w:tabs>
        <w:ind w:left="1800" w:hanging="360"/>
        <w:rPr>
          <w:rFonts w:ascii="Times New Roman" w:hAnsi="Times New Roman"/>
          <w:sz w:val="22"/>
        </w:rPr>
      </w:pPr>
      <w:r>
        <w:rPr>
          <w:rFonts w:ascii="Times New Roman" w:hAnsi="Times New Roman"/>
          <w:sz w:val="22"/>
        </w:rPr>
        <w:t>h.</w:t>
      </w:r>
      <w:r>
        <w:rPr>
          <w:rFonts w:ascii="Times New Roman" w:hAnsi="Times New Roman"/>
          <w:sz w:val="22"/>
        </w:rPr>
        <w:tab/>
      </w:r>
      <w:r w:rsidR="004368B8">
        <w:rPr>
          <w:rFonts w:ascii="Times New Roman" w:hAnsi="Times New Roman"/>
          <w:sz w:val="22"/>
        </w:rPr>
        <w:t xml:space="preserve">Note that </w:t>
      </w:r>
      <w:r w:rsidR="004368B8">
        <w:rPr>
          <w:rFonts w:ascii="Times New Roman" w:hAnsi="Times New Roman"/>
          <w:i/>
          <w:iCs/>
          <w:sz w:val="22"/>
        </w:rPr>
        <w:t>equity</w:t>
      </w:r>
      <w:r w:rsidR="004368B8">
        <w:rPr>
          <w:rFonts w:ascii="Times New Roman" w:hAnsi="Times New Roman"/>
          <w:sz w:val="22"/>
        </w:rPr>
        <w:t xml:space="preserve"> isn’t really a separate body of law any longer but that equitable remedies (injunctions, etc.) remain very important instruments that courts frequently employ. </w:t>
      </w:r>
    </w:p>
    <w:p w:rsidR="00E62DD3" w:rsidRDefault="00E62DD3" w:rsidP="00E62DD3">
      <w:pPr>
        <w:tabs>
          <w:tab w:val="left" w:pos="360"/>
          <w:tab w:val="left" w:pos="720"/>
          <w:tab w:val="left" w:pos="1080"/>
          <w:tab w:val="left" w:pos="1440"/>
          <w:tab w:val="left" w:pos="1800"/>
          <w:tab w:val="left" w:pos="2160"/>
        </w:tabs>
        <w:ind w:left="1800" w:hanging="360"/>
        <w:rPr>
          <w:rFonts w:ascii="Times New Roman" w:hAnsi="Times New Roman"/>
          <w:sz w:val="22"/>
        </w:rPr>
      </w:pPr>
      <w:r>
        <w:rPr>
          <w:rFonts w:ascii="Times New Roman" w:hAnsi="Times New Roman"/>
          <w:sz w:val="22"/>
        </w:rPr>
        <w:t>i.</w:t>
      </w:r>
      <w:r>
        <w:rPr>
          <w:rFonts w:ascii="Times New Roman" w:hAnsi="Times New Roman"/>
          <w:sz w:val="22"/>
        </w:rPr>
        <w:tab/>
      </w:r>
      <w:r w:rsidR="004368B8">
        <w:rPr>
          <w:rFonts w:ascii="Times New Roman" w:hAnsi="Times New Roman"/>
          <w:sz w:val="22"/>
        </w:rPr>
        <w:t xml:space="preserve">In the text, the term </w:t>
      </w:r>
      <w:r w:rsidR="004368B8">
        <w:rPr>
          <w:rFonts w:ascii="Times New Roman" w:hAnsi="Times New Roman"/>
          <w:i/>
          <w:iCs/>
          <w:sz w:val="22"/>
        </w:rPr>
        <w:t>delegation</w:t>
      </w:r>
      <w:r w:rsidR="004368B8">
        <w:rPr>
          <w:rFonts w:ascii="Times New Roman" w:hAnsi="Times New Roman"/>
          <w:sz w:val="22"/>
        </w:rPr>
        <w:t xml:space="preserve"> is used to refer only to transfers of power made by a legislature.  Under this usage, for example, a constitution's grant of power to a legislature is not an example of delegation.</w:t>
      </w:r>
    </w:p>
    <w:p w:rsidR="00E62DD3" w:rsidRDefault="00E62DD3" w:rsidP="00E62DD3">
      <w:pPr>
        <w:tabs>
          <w:tab w:val="left" w:pos="360"/>
          <w:tab w:val="left" w:pos="720"/>
          <w:tab w:val="left" w:pos="1080"/>
          <w:tab w:val="left" w:pos="1440"/>
          <w:tab w:val="left" w:pos="1800"/>
          <w:tab w:val="left" w:pos="2160"/>
        </w:tabs>
        <w:ind w:left="1800" w:hanging="360"/>
        <w:rPr>
          <w:rFonts w:ascii="Times New Roman" w:hAnsi="Times New Roman"/>
          <w:sz w:val="22"/>
        </w:rPr>
      </w:pPr>
      <w:r>
        <w:rPr>
          <w:rFonts w:ascii="Times New Roman" w:hAnsi="Times New Roman"/>
          <w:sz w:val="22"/>
        </w:rPr>
        <w:t>j.</w:t>
      </w:r>
      <w:r>
        <w:rPr>
          <w:rFonts w:ascii="Times New Roman" w:hAnsi="Times New Roman"/>
          <w:sz w:val="22"/>
        </w:rPr>
        <w:tab/>
      </w:r>
      <w:r w:rsidR="004368B8">
        <w:rPr>
          <w:rFonts w:ascii="Times New Roman" w:hAnsi="Times New Roman"/>
          <w:sz w:val="22"/>
        </w:rPr>
        <w:t>In discussing administrative regulations and decisions, note the political debates that often arise regarding whether we have too much, too little, or about the right amount of, regulation of business by administrative agencies.  Mention that the level of regulatory activity on the part of agencies tends to vary with the prevailing political winds.</w:t>
      </w:r>
    </w:p>
    <w:p w:rsidR="00DF6CB7" w:rsidRPr="00600F46" w:rsidRDefault="00DF6CB7" w:rsidP="00E62DD3">
      <w:pPr>
        <w:tabs>
          <w:tab w:val="left" w:pos="360"/>
          <w:tab w:val="left" w:pos="720"/>
          <w:tab w:val="left" w:pos="1080"/>
          <w:tab w:val="left" w:pos="1440"/>
          <w:tab w:val="left" w:pos="1800"/>
          <w:tab w:val="left" w:pos="2160"/>
        </w:tabs>
        <w:ind w:left="1800" w:hanging="360"/>
        <w:rPr>
          <w:rFonts w:ascii="Times New Roman" w:hAnsi="Times New Roman"/>
          <w:sz w:val="22"/>
        </w:rPr>
      </w:pPr>
      <w:r>
        <w:rPr>
          <w:rFonts w:ascii="Times New Roman" w:hAnsi="Times New Roman"/>
          <w:sz w:val="22"/>
        </w:rPr>
        <w:t>k.</w:t>
      </w:r>
      <w:r>
        <w:rPr>
          <w:rFonts w:ascii="Times New Roman" w:hAnsi="Times New Roman"/>
          <w:sz w:val="22"/>
        </w:rPr>
        <w:tab/>
        <w:t xml:space="preserve">Note the priority rules that apply </w:t>
      </w:r>
      <w:r w:rsidR="00600F46">
        <w:rPr>
          <w:rFonts w:ascii="Times New Roman" w:hAnsi="Times New Roman"/>
          <w:sz w:val="22"/>
        </w:rPr>
        <w:t xml:space="preserve">only </w:t>
      </w:r>
      <w:r>
        <w:rPr>
          <w:rFonts w:ascii="Times New Roman" w:hAnsi="Times New Roman"/>
          <w:sz w:val="22"/>
        </w:rPr>
        <w:t xml:space="preserve">when </w:t>
      </w:r>
      <w:r w:rsidR="00600F46">
        <w:rPr>
          <w:rFonts w:ascii="Times New Roman" w:hAnsi="Times New Roman"/>
          <w:sz w:val="22"/>
        </w:rPr>
        <w:t xml:space="preserve">the different types of law conflict.  Further note, as illustrated by the following </w:t>
      </w:r>
      <w:r w:rsidR="00600F46">
        <w:rPr>
          <w:rFonts w:ascii="Times New Roman" w:hAnsi="Times New Roman"/>
          <w:i/>
          <w:sz w:val="22"/>
        </w:rPr>
        <w:t>Advance Dental Care</w:t>
      </w:r>
      <w:r w:rsidR="00600F46">
        <w:rPr>
          <w:rFonts w:ascii="Times New Roman" w:hAnsi="Times New Roman"/>
          <w:sz w:val="22"/>
        </w:rPr>
        <w:t xml:space="preserve"> case, that courts will avoid interpreting the law to create such conflicts when possible.</w:t>
      </w:r>
    </w:p>
    <w:p w:rsidR="00DF6CB7" w:rsidRDefault="00DF6CB7" w:rsidP="00E62DD3">
      <w:pPr>
        <w:tabs>
          <w:tab w:val="left" w:pos="360"/>
          <w:tab w:val="left" w:pos="720"/>
          <w:tab w:val="left" w:pos="1080"/>
          <w:tab w:val="left" w:pos="1440"/>
          <w:tab w:val="left" w:pos="1800"/>
          <w:tab w:val="left" w:pos="2160"/>
        </w:tabs>
        <w:ind w:left="1800" w:hanging="360"/>
        <w:rPr>
          <w:rFonts w:ascii="Times New Roman" w:hAnsi="Times New Roman"/>
          <w:sz w:val="22"/>
        </w:rPr>
      </w:pPr>
      <w:r>
        <w:rPr>
          <w:rFonts w:ascii="Times New Roman" w:hAnsi="Times New Roman"/>
          <w:sz w:val="22"/>
        </w:rPr>
        <w:t>l.</w:t>
      </w:r>
      <w:r>
        <w:rPr>
          <w:rFonts w:ascii="Times New Roman" w:hAnsi="Times New Roman"/>
          <w:sz w:val="22"/>
        </w:rPr>
        <w:tab/>
      </w:r>
      <w:r w:rsidR="00600F46">
        <w:rPr>
          <w:rFonts w:ascii="Times New Roman" w:hAnsi="Times New Roman"/>
          <w:i/>
          <w:sz w:val="22"/>
        </w:rPr>
        <w:t>Advance Dental Care, Inc. v. SunTrust Bank</w:t>
      </w:r>
      <w:r w:rsidR="00600F46">
        <w:rPr>
          <w:rFonts w:ascii="Times New Roman" w:hAnsi="Times New Roman"/>
          <w:sz w:val="22"/>
        </w:rPr>
        <w:t xml:space="preserve"> (p. 8</w:t>
      </w:r>
      <w:r>
        <w:rPr>
          <w:rFonts w:ascii="Times New Roman" w:hAnsi="Times New Roman"/>
          <w:sz w:val="22"/>
        </w:rPr>
        <w:t xml:space="preserve">): </w:t>
      </w:r>
      <w:r w:rsidR="00F10D2C">
        <w:rPr>
          <w:rFonts w:ascii="Times New Roman" w:hAnsi="Times New Roman"/>
          <w:sz w:val="22"/>
        </w:rPr>
        <w:t>The Federal District Court for the District of Maryland determined that the Maryland U.C.C. section 3-420, which defines and provides a remedy for conversion, displaces the Maryland common-law negligence claim when a payee sues a bank for negligently accepting unauthorized and fraudulently endorsed checks. Michelle Rampersad had deposited in her personal account at SunTrust Bank more than $400,000 worth of insurance reimbursement checks that she had fraudulently endorsed to herself instead of intended payee Advance Dental Care.  Advance Dental Care sued SunTrust under the U.C.C. and for common law negligence.  One U.C.C. claim was dismissed, but the court had to decide whether the remaining claim, dealing with conversion, displaced the common law claim.</w:t>
      </w:r>
    </w:p>
    <w:p w:rsidR="00D5112B" w:rsidRDefault="003E54F2" w:rsidP="00E62DD3">
      <w:pPr>
        <w:tabs>
          <w:tab w:val="left" w:pos="360"/>
          <w:tab w:val="left" w:pos="720"/>
          <w:tab w:val="left" w:pos="1080"/>
          <w:tab w:val="left" w:pos="1440"/>
          <w:tab w:val="left" w:pos="1800"/>
          <w:tab w:val="left" w:pos="2160"/>
        </w:tabs>
        <w:ind w:left="1800" w:hanging="360"/>
        <w:rPr>
          <w:rFonts w:ascii="Times New Roman" w:hAnsi="Times New Roman"/>
          <w:sz w:val="22"/>
        </w:rPr>
      </w:pPr>
      <w:r>
        <w:rPr>
          <w:rFonts w:ascii="Times New Roman" w:hAnsi="Times New Roman"/>
          <w:sz w:val="22"/>
        </w:rPr>
        <w:tab/>
      </w:r>
      <w:r>
        <w:rPr>
          <w:rFonts w:ascii="Times New Roman" w:hAnsi="Times New Roman"/>
          <w:sz w:val="22"/>
        </w:rPr>
        <w:tab/>
      </w:r>
      <w:r w:rsidRPr="003E54F2">
        <w:rPr>
          <w:rFonts w:ascii="Times New Roman" w:hAnsi="Times New Roman"/>
          <w:i/>
          <w:sz w:val="22"/>
        </w:rPr>
        <w:t>Points for Discussion</w:t>
      </w:r>
      <w:r>
        <w:rPr>
          <w:rFonts w:ascii="Times New Roman" w:hAnsi="Times New Roman"/>
          <w:sz w:val="22"/>
        </w:rPr>
        <w:t xml:space="preserve">:  </w:t>
      </w:r>
      <w:r w:rsidR="00F10D2C">
        <w:rPr>
          <w:rFonts w:ascii="Times New Roman" w:hAnsi="Times New Roman"/>
          <w:sz w:val="22"/>
        </w:rPr>
        <w:t xml:space="preserve">Students may need a bit of coaching on the language in this case, including who is the payee (Advance </w:t>
      </w:r>
      <w:r w:rsidR="00D5112B">
        <w:rPr>
          <w:rFonts w:ascii="Times New Roman" w:hAnsi="Times New Roman"/>
          <w:sz w:val="22"/>
        </w:rPr>
        <w:t xml:space="preserve">Dental) and drawer (the insurance company), as well as what it means to endorse a check (i.e., to sign over the right to receive payment to someone else).  There’s no need to get deeply into the law of negotiable instruments for the purposes of this case, but the text elaborates on that topic in Chapter 31.  </w:t>
      </w:r>
    </w:p>
    <w:p w:rsidR="00D5112B" w:rsidRDefault="00D5112B" w:rsidP="00E62DD3">
      <w:pPr>
        <w:tabs>
          <w:tab w:val="left" w:pos="360"/>
          <w:tab w:val="left" w:pos="720"/>
          <w:tab w:val="left" w:pos="1080"/>
          <w:tab w:val="left" w:pos="1440"/>
          <w:tab w:val="left" w:pos="1800"/>
          <w:tab w:val="left" w:pos="2160"/>
        </w:tabs>
        <w:ind w:left="1800" w:hanging="360"/>
        <w:rPr>
          <w:rFonts w:ascii="Times New Roman" w:hAnsi="Times New Roman"/>
          <w:sz w:val="22"/>
        </w:rPr>
      </w:pPr>
      <w:r>
        <w:rPr>
          <w:rFonts w:ascii="Times New Roman" w:hAnsi="Times New Roman"/>
          <w:i/>
          <w:sz w:val="22"/>
        </w:rPr>
        <w:tab/>
      </w:r>
      <w:r>
        <w:rPr>
          <w:rFonts w:ascii="Times New Roman" w:hAnsi="Times New Roman"/>
          <w:i/>
          <w:sz w:val="22"/>
        </w:rPr>
        <w:tab/>
      </w:r>
      <w:r w:rsidR="00F10D2C">
        <w:rPr>
          <w:rFonts w:ascii="Times New Roman" w:hAnsi="Times New Roman"/>
          <w:sz w:val="22"/>
        </w:rPr>
        <w:t>Note for students that a primary concern is whether displacement of the common law remedy would leave a plaintiff if an adequate statutory remedy.  It would in this case, as opposed to cases where the drawer of the check</w:t>
      </w:r>
      <w:r>
        <w:rPr>
          <w:rFonts w:ascii="Times New Roman" w:hAnsi="Times New Roman"/>
          <w:sz w:val="22"/>
        </w:rPr>
        <w:t xml:space="preserve"> is harmed when a bank negligently honors a fraudulently endorsed check.  </w:t>
      </w:r>
    </w:p>
    <w:p w:rsidR="003E54F2" w:rsidRPr="001D0E28" w:rsidRDefault="00D5112B" w:rsidP="005E0752">
      <w:pPr>
        <w:tabs>
          <w:tab w:val="left" w:pos="360"/>
          <w:tab w:val="left" w:pos="720"/>
          <w:tab w:val="left" w:pos="1080"/>
          <w:tab w:val="left" w:pos="1440"/>
          <w:tab w:val="left" w:pos="1800"/>
          <w:tab w:val="left" w:pos="2160"/>
        </w:tabs>
        <w:ind w:left="1800" w:hanging="360"/>
        <w:rPr>
          <w:rFonts w:ascii="Times New Roman" w:hAnsi="Times New Roman"/>
          <w:sz w:val="22"/>
          <w:szCs w:val="22"/>
        </w:rPr>
      </w:pPr>
      <w:r>
        <w:rPr>
          <w:rFonts w:ascii="Times New Roman" w:hAnsi="Times New Roman"/>
          <w:sz w:val="22"/>
        </w:rPr>
        <w:tab/>
      </w:r>
      <w:r>
        <w:rPr>
          <w:rFonts w:ascii="Times New Roman" w:hAnsi="Times New Roman"/>
          <w:sz w:val="22"/>
        </w:rPr>
        <w:tab/>
        <w:t xml:space="preserve">Ask students what is the relevance of U.C.C. section 1-103(b)’s “particular provisions” language. (Because the U.C.C. does not expressly displace the common law in total, the court must look to whether the particular conversion provision displaces the particular negligence claim.  Sometimes statutes expressly indicate the legislature’s intention to displace certain common law rules.) </w:t>
      </w:r>
      <w:r w:rsidR="005E0752">
        <w:rPr>
          <w:rFonts w:ascii="Times New Roman" w:hAnsi="Times New Roman"/>
          <w:sz w:val="22"/>
        </w:rPr>
        <w:t xml:space="preserve"> Ask students to indicate what it is about the conversion provision that causes the court to find that it displaces the common-law negligence claim. (Significant overlap between the two claims makes them largely duplicative and inconsistent defenses under each.  So the common law claim adds nothing in terms of what conduct is regulated, but the two claims would result in differing standards for excusing the defendant of its liability based on the plaintiff’s own negligence.)  Explain that typically the courts would let a somewhat related claim under common law sit alongside a statutory claim that does not expressly displace it, so long as they are distinct and not contradictory.  But, here, the claims were not distinct and were contradictory.  In that case, the priority rules require that the statute displace the common law.</w:t>
      </w:r>
    </w:p>
    <w:p w:rsidR="004368B8" w:rsidRDefault="00DF6CB7" w:rsidP="00E62DD3">
      <w:pPr>
        <w:tabs>
          <w:tab w:val="left" w:pos="360"/>
          <w:tab w:val="left" w:pos="720"/>
          <w:tab w:val="left" w:pos="1080"/>
          <w:tab w:val="left" w:pos="1440"/>
          <w:tab w:val="left" w:pos="1800"/>
          <w:tab w:val="left" w:pos="2160"/>
        </w:tabs>
        <w:ind w:left="1800" w:hanging="360"/>
        <w:rPr>
          <w:rFonts w:ascii="Times New Roman" w:hAnsi="Times New Roman"/>
          <w:sz w:val="22"/>
        </w:rPr>
      </w:pPr>
      <w:r>
        <w:rPr>
          <w:rFonts w:ascii="Times New Roman" w:hAnsi="Times New Roman"/>
          <w:sz w:val="22"/>
        </w:rPr>
        <w:t>m</w:t>
      </w:r>
      <w:r w:rsidR="00E62DD3">
        <w:rPr>
          <w:rFonts w:ascii="Times New Roman" w:hAnsi="Times New Roman"/>
          <w:sz w:val="22"/>
        </w:rPr>
        <w:t>.</w:t>
      </w:r>
      <w:r w:rsidR="00E62DD3">
        <w:rPr>
          <w:rFonts w:ascii="Times New Roman" w:hAnsi="Times New Roman"/>
          <w:sz w:val="22"/>
        </w:rPr>
        <w:tab/>
      </w:r>
      <w:r w:rsidR="006C1C20">
        <w:rPr>
          <w:rFonts w:ascii="Times New Roman" w:hAnsi="Times New Roman"/>
          <w:sz w:val="22"/>
        </w:rPr>
        <w:t>Briefly discuss the classifications of law identified in the text and give examples.</w:t>
      </w:r>
    </w:p>
    <w:p w:rsidR="004368B8" w:rsidRDefault="004368B8">
      <w:pPr>
        <w:tabs>
          <w:tab w:val="left" w:pos="360"/>
          <w:tab w:val="left" w:pos="72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rPr>
        <w:t>B.</w:t>
      </w:r>
      <w:r>
        <w:rPr>
          <w:rFonts w:ascii="Times New Roman" w:hAnsi="Times New Roman"/>
          <w:sz w:val="22"/>
        </w:rPr>
        <w:tab/>
        <w:t>Jurisprudence</w:t>
      </w:r>
    </w:p>
    <w:p w:rsidR="004368B8" w:rsidRDefault="004368B8">
      <w:pPr>
        <w:tabs>
          <w:tab w:val="left" w:pos="360"/>
          <w:tab w:val="left" w:pos="720"/>
          <w:tab w:val="left" w:pos="1080"/>
          <w:tab w:val="left" w:pos="1440"/>
          <w:tab w:val="left" w:pos="1800"/>
          <w:tab w:val="left" w:pos="2160"/>
        </w:tabs>
        <w:spacing w:before="60"/>
        <w:ind w:left="1440" w:hanging="360"/>
        <w:rPr>
          <w:rFonts w:ascii="Times New Roman" w:hAnsi="Times New Roman"/>
          <w:sz w:val="22"/>
        </w:rPr>
      </w:pPr>
      <w:r>
        <w:rPr>
          <w:rFonts w:ascii="Times New Roman" w:hAnsi="Times New Roman"/>
          <w:sz w:val="22"/>
        </w:rPr>
        <w:t>1.</w:t>
      </w:r>
      <w:r>
        <w:rPr>
          <w:rFonts w:ascii="Times New Roman" w:hAnsi="Times New Roman"/>
          <w:sz w:val="22"/>
        </w:rPr>
        <w:tab/>
        <w:t>We use the term "positive law" here, because it often is useful in distinguishing between the various abstract jurisprudential definitions of law and the law that is actually in force.</w:t>
      </w:r>
    </w:p>
    <w:p w:rsidR="004368B8" w:rsidRDefault="004368B8">
      <w:pPr>
        <w:tabs>
          <w:tab w:val="left" w:pos="360"/>
          <w:tab w:val="left" w:pos="720"/>
          <w:tab w:val="left" w:pos="1080"/>
          <w:tab w:val="left" w:pos="1440"/>
          <w:tab w:val="left" w:pos="1800"/>
          <w:tab w:val="left" w:pos="2160"/>
        </w:tabs>
        <w:spacing w:before="60"/>
        <w:ind w:left="1440" w:hanging="360"/>
        <w:rPr>
          <w:rFonts w:ascii="Times New Roman" w:hAnsi="Times New Roman"/>
          <w:sz w:val="22"/>
        </w:rPr>
      </w:pPr>
      <w:r>
        <w:rPr>
          <w:rFonts w:ascii="Times New Roman" w:hAnsi="Times New Roman"/>
          <w:sz w:val="22"/>
        </w:rPr>
        <w:t>2.</w:t>
      </w:r>
      <w:r>
        <w:rPr>
          <w:rFonts w:ascii="Times New Roman" w:hAnsi="Times New Roman"/>
          <w:sz w:val="22"/>
        </w:rPr>
        <w:tab/>
        <w:t xml:space="preserve">The materials in the jurisprudence section can be regarded as another set of answers to this question: "What is law?"  You might introduce the subject by pointing out that defining law by providing a list of things that get called "law" isn't satisfactory to everyone, and that some people want a more general definition. Over time, you can continue, the various attempted general definitions of law have been grouped into "schools" of jurisprudence.  Stress that with the possible exception of sociological jurisprudence, each school has its own distinctive definition of law. Also, stress that in some cases practical consequences flow from a school's definition. </w:t>
      </w:r>
    </w:p>
    <w:p w:rsidR="004368B8" w:rsidRDefault="004368B8">
      <w:pPr>
        <w:tabs>
          <w:tab w:val="left" w:pos="360"/>
          <w:tab w:val="left" w:pos="720"/>
          <w:tab w:val="left" w:pos="1080"/>
          <w:tab w:val="left" w:pos="1440"/>
          <w:tab w:val="left" w:pos="1800"/>
          <w:tab w:val="left" w:pos="2160"/>
        </w:tabs>
        <w:spacing w:before="60"/>
        <w:ind w:left="1440" w:hanging="360"/>
        <w:rPr>
          <w:rFonts w:ascii="Times New Roman" w:hAnsi="Times New Roman"/>
          <w:sz w:val="22"/>
        </w:rPr>
      </w:pPr>
      <w:r>
        <w:rPr>
          <w:rFonts w:ascii="Times New Roman" w:hAnsi="Times New Roman"/>
          <w:sz w:val="22"/>
        </w:rPr>
        <w:t>3.</w:t>
      </w:r>
      <w:r>
        <w:rPr>
          <w:rFonts w:ascii="Times New Roman" w:hAnsi="Times New Roman"/>
          <w:sz w:val="22"/>
        </w:rPr>
        <w:tab/>
        <w:t>Regarding legal positivism:</w:t>
      </w:r>
    </w:p>
    <w:p w:rsidR="004368B8" w:rsidRDefault="004368B8">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a.</w:t>
      </w:r>
      <w:r>
        <w:rPr>
          <w:rFonts w:ascii="Times New Roman" w:hAnsi="Times New Roman"/>
          <w:sz w:val="22"/>
        </w:rPr>
        <w:tab/>
        <w:t xml:space="preserve">Emphasize the basic idea that positivists regard law as the command of a political authority.  In addition to the text's definition from Hobbes's </w:t>
      </w:r>
      <w:r>
        <w:rPr>
          <w:rFonts w:ascii="Times New Roman" w:hAnsi="Times New Roman"/>
          <w:i/>
          <w:sz w:val="22"/>
        </w:rPr>
        <w:t>Leviathan</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Austin</w:t>
          </w:r>
        </w:smartTag>
      </w:smartTag>
      <w:r>
        <w:rPr>
          <w:rFonts w:ascii="Times New Roman" w:hAnsi="Times New Roman"/>
          <w:sz w:val="22"/>
        </w:rPr>
        <w:t xml:space="preserve">'s </w:t>
      </w:r>
      <w:r>
        <w:rPr>
          <w:rFonts w:ascii="Times New Roman" w:hAnsi="Times New Roman"/>
          <w:i/>
          <w:sz w:val="22"/>
        </w:rPr>
        <w:t>Jurisprudence</w:t>
      </w:r>
      <w:r>
        <w:rPr>
          <w:rFonts w:ascii="Times New Roman" w:hAnsi="Times New Roman"/>
          <w:sz w:val="22"/>
        </w:rPr>
        <w:t xml:space="preserve"> defines law as "a rule laid down for the guidance of an intelligent being by an intelligent being having power over him."</w:t>
      </w:r>
    </w:p>
    <w:p w:rsidR="00442212" w:rsidRDefault="004368B8">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b.</w:t>
      </w:r>
      <w:r>
        <w:rPr>
          <w:rFonts w:ascii="Times New Roman" w:hAnsi="Times New Roman"/>
          <w:sz w:val="22"/>
        </w:rPr>
        <w:tab/>
        <w:t xml:space="preserve">Some positivists adopt a more general definition of law, defining it as the command of society's ultimate political authority, or sovereign.  On this view, the different kinds of positive law are valid because the sovereign has delegated some of its ultimate lawmaking power to various subordinate bodies (e.g., courts). Locating the sovereign has been a problem for positivists, however.  Doing so may be easy in </w:t>
      </w:r>
      <w:r w:rsidR="002D4A4F">
        <w:rPr>
          <w:rFonts w:ascii="Times New Roman" w:hAnsi="Times New Roman"/>
          <w:sz w:val="22"/>
        </w:rPr>
        <w:t xml:space="preserve">an absolute monarchy or </w:t>
      </w:r>
      <w:r>
        <w:rPr>
          <w:rFonts w:ascii="Times New Roman" w:hAnsi="Times New Roman"/>
          <w:sz w:val="22"/>
        </w:rPr>
        <w:t xml:space="preserve">dictatorship.  In systems of divided power such as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political system, however, the task is more difficult.</w:t>
      </w:r>
    </w:p>
    <w:p w:rsidR="004368B8" w:rsidRDefault="004368B8">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c.</w:t>
      </w:r>
      <w:r>
        <w:rPr>
          <w:rFonts w:ascii="Times New Roman" w:hAnsi="Times New Roman"/>
          <w:sz w:val="22"/>
        </w:rPr>
        <w:tab/>
        <w:t>Note how either positivist definition of law dovetails with the general positivist position that law and morality are separate and distinct things.  A command as such need not have any moral dimension. Typically, it does not say "Obey because it's right," but instead says "Obey or else."  Perhaps the point can be amplified by telling students to look at the law as Holmes's "bad man" would--not caring whether the sovereign's commands are right or wrong, but merely wanting to know what they are and what the consequences of disobeying them will be.</w:t>
      </w:r>
    </w:p>
    <w:p w:rsidR="004368B8" w:rsidRDefault="004368B8">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d.</w:t>
      </w:r>
      <w:r>
        <w:rPr>
          <w:rFonts w:ascii="Times New Roman" w:hAnsi="Times New Roman"/>
          <w:sz w:val="22"/>
        </w:rPr>
        <w:tab/>
        <w:t>Emphasize the positivist tendency to say that validly enacted positive laws should be enforced and obeyed, just or not.  This is only a tendency, for many positivists say that the competing claims of law and morality must somehow be weighed against each other.</w:t>
      </w:r>
    </w:p>
    <w:p w:rsidR="004368B8" w:rsidRDefault="004368B8">
      <w:pPr>
        <w:pStyle w:val="3"/>
        <w:tabs>
          <w:tab w:val="left" w:pos="1440"/>
          <w:tab w:val="left" w:pos="1800"/>
          <w:tab w:val="left" w:pos="2160"/>
        </w:tabs>
      </w:pPr>
      <w:r>
        <w:t>4.</w:t>
      </w:r>
      <w:r>
        <w:tab/>
        <w:t>Regarding natural law:</w:t>
      </w:r>
    </w:p>
    <w:p w:rsidR="001D0E28" w:rsidRDefault="004368B8">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a.</w:t>
      </w:r>
      <w:r>
        <w:rPr>
          <w:rFonts w:ascii="Times New Roman" w:hAnsi="Times New Roman"/>
          <w:sz w:val="22"/>
        </w:rPr>
        <w:tab/>
        <w:t>Emphasize the basic idea underlying almost every system of natural law: that there is some set of moral standards that is universally binding.  These standards, of course, are a criterion for evaluating positive law.</w:t>
      </w:r>
    </w:p>
    <w:p w:rsidR="004368B8" w:rsidRDefault="004368B8">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b.</w:t>
      </w:r>
      <w:r>
        <w:rPr>
          <w:rFonts w:ascii="Times New Roman" w:hAnsi="Times New Roman"/>
          <w:sz w:val="22"/>
        </w:rPr>
        <w:tab/>
      </w:r>
      <w:smartTag w:uri="urn:schemas-microsoft-com:office:smarttags" w:element="place">
        <w:smartTag w:uri="urn:schemas-microsoft-com:office:smarttags" w:element="City">
          <w:r>
            <w:rPr>
              <w:rFonts w:ascii="Times New Roman" w:hAnsi="Times New Roman"/>
              <w:sz w:val="22"/>
            </w:rPr>
            <w:t>Cicero</w:t>
          </w:r>
        </w:smartTag>
      </w:smartTag>
      <w:r>
        <w:rPr>
          <w:rFonts w:ascii="Times New Roman" w:hAnsi="Times New Roman"/>
          <w:sz w:val="22"/>
        </w:rPr>
        <w:t>'s statement in the text is by no means the only natural law definition of law.  The text attempts down-to-earth definition: those commands of a recognized political authority that do not offend the higher law.  An alternative formulation is to say that to be law, a positive law must actually be good.  Some positive laws (e.g., whether to drive on the right or left side of the road) seem morally neutral, however, and some involve difficult moral tradeoffs.  The first formulation therefore seems preferable.</w:t>
      </w:r>
    </w:p>
    <w:p w:rsidR="004368B8" w:rsidRDefault="004368B8">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c.</w:t>
      </w:r>
      <w:r>
        <w:rPr>
          <w:rFonts w:ascii="Times New Roman" w:hAnsi="Times New Roman"/>
          <w:sz w:val="22"/>
        </w:rPr>
        <w:tab/>
        <w:t xml:space="preserve">To many natural law thinkers, a positive law that gets too far out of line with the natural law simply is not law.  The practical payoff of this position is that there supposedly is no duty to obey such positive laws.  In reality, however, as the </w:t>
      </w:r>
      <w:r>
        <w:rPr>
          <w:rFonts w:ascii="Times New Roman" w:hAnsi="Times New Roman"/>
          <w:i/>
          <w:iCs/>
          <w:sz w:val="22"/>
        </w:rPr>
        <w:t>Lynch</w:t>
      </w:r>
      <w:r w:rsidR="002D4A4F">
        <w:rPr>
          <w:rFonts w:ascii="Times New Roman" w:hAnsi="Times New Roman"/>
          <w:sz w:val="22"/>
        </w:rPr>
        <w:t xml:space="preserve"> case (see Problem #3</w:t>
      </w:r>
      <w:r>
        <w:rPr>
          <w:rFonts w:ascii="Times New Roman" w:hAnsi="Times New Roman"/>
          <w:sz w:val="22"/>
        </w:rPr>
        <w:t>) demonstrates, no natural law “defense” is recognized in court.  Even so, there is no question that judges’ notions of morality may sometimes influence their application of the law.</w:t>
      </w:r>
    </w:p>
    <w:p w:rsidR="004368B8" w:rsidRDefault="004368B8">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d.</w:t>
      </w:r>
      <w:r>
        <w:rPr>
          <w:rFonts w:ascii="Times New Roman" w:hAnsi="Times New Roman"/>
          <w:sz w:val="22"/>
        </w:rPr>
        <w:tab/>
        <w:t>Stress the ways in which natural law and legal positivism differ.  The two key differences concern: (1) the relation between law and morality; and (2) the duty to obey unjust</w:t>
      </w:r>
      <w:r w:rsidR="006142B3">
        <w:rPr>
          <w:rFonts w:ascii="Times New Roman" w:hAnsi="Times New Roman"/>
          <w:sz w:val="22"/>
        </w:rPr>
        <w:t xml:space="preserve"> positive laws. </w:t>
      </w:r>
    </w:p>
    <w:p w:rsidR="004368B8" w:rsidRDefault="004368B8">
      <w:pPr>
        <w:numPr>
          <w:ilvl w:val="0"/>
          <w:numId w:val="2"/>
        </w:numPr>
        <w:tabs>
          <w:tab w:val="left" w:pos="360"/>
          <w:tab w:val="left" w:pos="720"/>
          <w:tab w:val="left" w:pos="1080"/>
          <w:tab w:val="left" w:pos="1440"/>
          <w:tab w:val="left" w:pos="2160"/>
        </w:tabs>
        <w:spacing w:before="60"/>
        <w:rPr>
          <w:rFonts w:ascii="Times New Roman" w:hAnsi="Times New Roman"/>
          <w:sz w:val="22"/>
        </w:rPr>
      </w:pPr>
      <w:r>
        <w:rPr>
          <w:rFonts w:ascii="Times New Roman" w:hAnsi="Times New Roman"/>
          <w:sz w:val="22"/>
        </w:rPr>
        <w:t xml:space="preserve">Briefly note an obvious problem with natural law: moral diversity.  This fact of life can lead to skeptical attacks on the whole notion of natural law.  It also can indirectly support the positivist position on the duty to obey law.  What would life be like if in a morally diverse society everyone believes that one need not obey unjust laws?  Of course, natural law thinkers can counterattack by saying that the positivist position requires us to obey </w:t>
      </w:r>
      <w:r>
        <w:rPr>
          <w:rFonts w:ascii="Times New Roman" w:hAnsi="Times New Roman"/>
          <w:i/>
          <w:sz w:val="22"/>
        </w:rPr>
        <w:t>any</w:t>
      </w:r>
      <w:r>
        <w:rPr>
          <w:rFonts w:ascii="Times New Roman" w:hAnsi="Times New Roman"/>
          <w:sz w:val="22"/>
        </w:rPr>
        <w:t xml:space="preserve"> validly enacted positive law, no matter how unjust.</w:t>
      </w:r>
    </w:p>
    <w:p w:rsidR="00701043" w:rsidRDefault="002E5D68" w:rsidP="002E5D68">
      <w:pPr>
        <w:numPr>
          <w:ilvl w:val="0"/>
          <w:numId w:val="2"/>
        </w:numPr>
        <w:tabs>
          <w:tab w:val="left" w:pos="360"/>
          <w:tab w:val="left" w:pos="720"/>
          <w:tab w:val="left" w:pos="1080"/>
          <w:tab w:val="left" w:pos="1440"/>
          <w:tab w:val="left" w:pos="2160"/>
        </w:tabs>
        <w:spacing w:before="60"/>
        <w:rPr>
          <w:rFonts w:ascii="Times New Roman" w:hAnsi="Times New Roman"/>
          <w:sz w:val="22"/>
        </w:rPr>
      </w:pPr>
      <w:r>
        <w:rPr>
          <w:rFonts w:ascii="Times New Roman" w:hAnsi="Times New Roman"/>
          <w:sz w:val="22"/>
        </w:rPr>
        <w:t>Note that a natural law defense is not allowed in court.  Example: Problem #3.</w:t>
      </w:r>
    </w:p>
    <w:p w:rsidR="004368B8" w:rsidRDefault="004368B8">
      <w:pPr>
        <w:pStyle w:val="3"/>
        <w:tabs>
          <w:tab w:val="left" w:pos="1440"/>
          <w:tab w:val="left" w:pos="1800"/>
          <w:tab w:val="left" w:pos="2160"/>
        </w:tabs>
      </w:pPr>
      <w:r>
        <w:t>5.</w:t>
      </w:r>
      <w:r>
        <w:tab/>
        <w:t>Regarding American Legal Realism:</w:t>
      </w:r>
    </w:p>
    <w:p w:rsidR="004368B8" w:rsidRDefault="004368B8">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a.</w:t>
      </w:r>
      <w:r>
        <w:rPr>
          <w:rFonts w:ascii="Times New Roman" w:hAnsi="Times New Roman"/>
          <w:sz w:val="22"/>
        </w:rPr>
        <w:tab/>
        <w:t>The most important thing to emphasize is the characteristic legal realist distinction between the "law in the books" and the "law in action."  Ask</w:t>
      </w:r>
      <w:r w:rsidR="002D4A4F">
        <w:rPr>
          <w:rFonts w:ascii="Times New Roman" w:hAnsi="Times New Roman"/>
          <w:sz w:val="22"/>
        </w:rPr>
        <w:t xml:space="preserve"> the class to supply </w:t>
      </w:r>
      <w:r>
        <w:rPr>
          <w:rFonts w:ascii="Times New Roman" w:hAnsi="Times New Roman"/>
          <w:sz w:val="22"/>
        </w:rPr>
        <w:t xml:space="preserve">examples of situations in which the actual behavior of law-enforcers differs from what the positive "law in the books" says (e.g., the “in the books” speed limit on a two-lane, non-interstate highway may be 55 mph in a given state, but the “in action” speed limit is probably somewhere between 60 and 65 </w:t>
      </w:r>
      <w:r w:rsidR="002E5D68">
        <w:rPr>
          <w:rFonts w:ascii="Times New Roman" w:hAnsi="Times New Roman"/>
          <w:sz w:val="22"/>
        </w:rPr>
        <w:t>mph).  Also, see Problem #</w:t>
      </w:r>
      <w:r>
        <w:rPr>
          <w:rFonts w:ascii="Times New Roman" w:hAnsi="Times New Roman"/>
          <w:sz w:val="22"/>
        </w:rPr>
        <w:t>7.</w:t>
      </w:r>
    </w:p>
    <w:p w:rsidR="004368B8" w:rsidRDefault="004368B8">
      <w:pPr>
        <w:numPr>
          <w:ilvl w:val="0"/>
          <w:numId w:val="3"/>
        </w:numPr>
        <w:tabs>
          <w:tab w:val="left" w:pos="360"/>
          <w:tab w:val="left" w:pos="720"/>
          <w:tab w:val="left" w:pos="1080"/>
          <w:tab w:val="left" w:pos="1440"/>
          <w:tab w:val="left" w:pos="2160"/>
        </w:tabs>
        <w:spacing w:before="60"/>
        <w:rPr>
          <w:rFonts w:ascii="Times New Roman" w:hAnsi="Times New Roman"/>
          <w:sz w:val="22"/>
        </w:rPr>
      </w:pPr>
      <w:r>
        <w:rPr>
          <w:rFonts w:ascii="Times New Roman" w:hAnsi="Times New Roman"/>
          <w:sz w:val="22"/>
        </w:rPr>
        <w:t>Unlike natural law and legal positivism, legal realism has relatively little to say about the duty to obey positive law.  Instead, we have the characteristic legal realist program for the judiciary described in the text.  To link the l</w:t>
      </w:r>
      <w:r w:rsidR="00701043">
        <w:rPr>
          <w:rFonts w:ascii="Times New Roman" w:hAnsi="Times New Roman"/>
          <w:sz w:val="22"/>
        </w:rPr>
        <w:t xml:space="preserve">egal realists' law in the books vs. </w:t>
      </w:r>
      <w:r>
        <w:rPr>
          <w:rFonts w:ascii="Times New Roman" w:hAnsi="Times New Roman"/>
          <w:sz w:val="22"/>
        </w:rPr>
        <w:t>law in action distinction and their agenda for the judiciary, emphasize that one obstacle to the judicial activism desired by the realists is the widespread belief that this violates the rule of law.  But if this belief can be undermined by denigrating the importance of "book law" and by showing that decisions ostensibly so based actually reflect the whims of the judge, the door is opened for a more activist judicial posture.  Then, the realists can say: "If (as is inevitable) judges decide on the basis of their personal preferences, at least they ought to do so intelligently."</w:t>
      </w:r>
    </w:p>
    <w:p w:rsidR="001D0E28" w:rsidRDefault="004368B8">
      <w:pPr>
        <w:numPr>
          <w:ilvl w:val="0"/>
          <w:numId w:val="3"/>
        </w:numPr>
        <w:tabs>
          <w:tab w:val="left" w:pos="360"/>
          <w:tab w:val="left" w:pos="720"/>
          <w:tab w:val="left" w:pos="1080"/>
          <w:tab w:val="left" w:pos="1440"/>
          <w:tab w:val="left" w:pos="2160"/>
        </w:tabs>
        <w:spacing w:before="60"/>
        <w:rPr>
          <w:rFonts w:ascii="Times New Roman" w:hAnsi="Times New Roman"/>
          <w:sz w:val="22"/>
        </w:rPr>
      </w:pPr>
      <w:r>
        <w:rPr>
          <w:rFonts w:ascii="Times New Roman" w:hAnsi="Times New Roman"/>
          <w:sz w:val="22"/>
        </w:rPr>
        <w:t>Can a legal realist judge really decide cases without values of some kind?  From what source are these to be derived?  Does legal realism itself provide moral criteria?  To the author of this chapter, the answers to these questions are "No," "Unclear," and "No," respectively.  Occasionally, it seems that the realists naively see moral questions as having obvious answers and as being easily resolved.</w:t>
      </w:r>
    </w:p>
    <w:p w:rsidR="004368B8" w:rsidRDefault="004368B8">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d.</w:t>
      </w:r>
      <w:r>
        <w:rPr>
          <w:rFonts w:ascii="Times New Roman" w:hAnsi="Times New Roman"/>
          <w:sz w:val="22"/>
        </w:rPr>
        <w:tab/>
        <w:t>You might note that legal realism is no longer an organized movement, but that its influence lingers.</w:t>
      </w:r>
    </w:p>
    <w:p w:rsidR="004368B8" w:rsidRDefault="004368B8">
      <w:pPr>
        <w:pStyle w:val="3"/>
        <w:tabs>
          <w:tab w:val="left" w:pos="1440"/>
          <w:tab w:val="left" w:pos="1800"/>
          <w:tab w:val="left" w:pos="2160"/>
        </w:tabs>
      </w:pPr>
      <w:r>
        <w:t>6.</w:t>
      </w:r>
      <w:r>
        <w:tab/>
        <w:t>Regarding sociological jurisprudence:</w:t>
      </w:r>
    </w:p>
    <w:p w:rsidR="004368B8" w:rsidRDefault="004368B8">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a.</w:t>
      </w:r>
      <w:r>
        <w:rPr>
          <w:rFonts w:ascii="Times New Roman" w:hAnsi="Times New Roman"/>
          <w:sz w:val="22"/>
        </w:rPr>
        <w:tab/>
        <w:t>Stress that "sociological jurisprudence" is an umbrella term uniting a wide range of approaches to the study of law and society, and that the definition offered in the text is only suggestive.  The specific examples of Pound, Savigny, and Ehrlich in the text help flesh out this suggestive definition.</w:t>
      </w:r>
    </w:p>
    <w:p w:rsidR="004368B8" w:rsidRDefault="004368B8">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b.</w:t>
      </w:r>
      <w:r>
        <w:rPr>
          <w:rFonts w:ascii="Times New Roman" w:hAnsi="Times New Roman"/>
          <w:sz w:val="22"/>
        </w:rPr>
        <w:tab/>
        <w:t>Note how sociological jurisprudence puts the positivist conception of law in a new light.  Rather than seeing law as simply the will of a political authority, we now have to look behind that will to identify the social forces influencing it.  In Ehrlich's view, moreover, positive law is not so special.  It is only one element within a spectrum of formal and informal social controls.</w:t>
      </w:r>
    </w:p>
    <w:p w:rsidR="004368B8" w:rsidRDefault="004368B8">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c.</w:t>
      </w:r>
      <w:r>
        <w:rPr>
          <w:rFonts w:ascii="Times New Roman" w:hAnsi="Times New Roman"/>
          <w:sz w:val="22"/>
        </w:rPr>
        <w:tab/>
        <w:t xml:space="preserve">Stress how sociological jurisprudence differs from natural law.  Sociological jurisprudence's treatment of values generally takes this form: "Society X emphasizes values A, B, and C; and these influence X's legal system in certain ways.  But I'm not saying whether this is wrong or right." </w:t>
      </w:r>
    </w:p>
    <w:p w:rsidR="004368B8" w:rsidRDefault="004368B8">
      <w:pPr>
        <w:numPr>
          <w:ilvl w:val="0"/>
          <w:numId w:val="3"/>
        </w:numPr>
        <w:tabs>
          <w:tab w:val="left" w:pos="360"/>
          <w:tab w:val="left" w:pos="720"/>
          <w:tab w:val="left" w:pos="1080"/>
          <w:tab w:val="left" w:pos="1440"/>
          <w:tab w:val="left" w:pos="2160"/>
        </w:tabs>
        <w:spacing w:before="60"/>
        <w:rPr>
          <w:rFonts w:ascii="Times New Roman" w:hAnsi="Times New Roman"/>
          <w:sz w:val="22"/>
        </w:rPr>
      </w:pPr>
      <w:r>
        <w:rPr>
          <w:rFonts w:ascii="Times New Roman" w:hAnsi="Times New Roman"/>
          <w:sz w:val="22"/>
        </w:rPr>
        <w:t xml:space="preserve">There is a common judicial tendency that might be termed “sociological”:  following dominant social interests and values.  This is the apparent point of the Holmes quotation in the text.  Arguably, the Supreme Court has taken this approach at various points in its history--during the 1970s, for example, in the abortion, teenage contraception, and capital punishment </w:t>
      </w:r>
      <w:r w:rsidR="004C6551">
        <w:rPr>
          <w:rFonts w:ascii="Times New Roman" w:hAnsi="Times New Roman"/>
          <w:sz w:val="22"/>
        </w:rPr>
        <w:t xml:space="preserve">contexts. </w:t>
      </w:r>
      <w:r>
        <w:rPr>
          <w:rFonts w:ascii="Times New Roman" w:hAnsi="Times New Roman"/>
          <w:sz w:val="22"/>
        </w:rPr>
        <w:t xml:space="preserve">This approach sounds nice, but the problems it presents might be dramatized by asking the following question: "What do you do when society is going to the dogs?"  If the quotation in the text is any guide, Holmes might have said: "Follow the dominant social tendency anyway." </w:t>
      </w:r>
    </w:p>
    <w:p w:rsidR="004368B8" w:rsidRDefault="004C6551">
      <w:pPr>
        <w:tabs>
          <w:tab w:val="left" w:pos="360"/>
          <w:tab w:val="left" w:pos="720"/>
          <w:tab w:val="left" w:pos="1080"/>
          <w:tab w:val="left" w:pos="1440"/>
          <w:tab w:val="left" w:pos="1800"/>
          <w:tab w:val="left" w:pos="2160"/>
        </w:tabs>
        <w:spacing w:before="60"/>
        <w:ind w:left="1440" w:hanging="360"/>
        <w:rPr>
          <w:rFonts w:ascii="Times New Roman" w:hAnsi="Times New Roman"/>
          <w:sz w:val="22"/>
        </w:rPr>
      </w:pPr>
      <w:r>
        <w:rPr>
          <w:rFonts w:ascii="Times New Roman" w:hAnsi="Times New Roman"/>
          <w:sz w:val="22"/>
        </w:rPr>
        <w:t>7.</w:t>
      </w:r>
      <w:r>
        <w:rPr>
          <w:rFonts w:ascii="Times New Roman" w:hAnsi="Times New Roman"/>
          <w:sz w:val="22"/>
        </w:rPr>
        <w:tab/>
        <w:t xml:space="preserve">Problem #7 </w:t>
      </w:r>
      <w:r w:rsidR="004368B8">
        <w:rPr>
          <w:rFonts w:ascii="Times New Roman" w:hAnsi="Times New Roman"/>
          <w:sz w:val="22"/>
        </w:rPr>
        <w:t>might be used as a gener</w:t>
      </w:r>
      <w:r w:rsidR="00FB2807">
        <w:rPr>
          <w:rFonts w:ascii="Times New Roman" w:hAnsi="Times New Roman"/>
          <w:sz w:val="22"/>
        </w:rPr>
        <w:t xml:space="preserve">al review of the four schools. </w:t>
      </w:r>
      <w:r w:rsidR="004368B8">
        <w:rPr>
          <w:rFonts w:ascii="Times New Roman" w:hAnsi="Times New Roman"/>
          <w:sz w:val="22"/>
        </w:rPr>
        <w:t xml:space="preserve">The Ethics in Action box </w:t>
      </w:r>
      <w:r w:rsidR="00752468">
        <w:rPr>
          <w:rFonts w:ascii="Times New Roman" w:hAnsi="Times New Roman"/>
          <w:sz w:val="22"/>
        </w:rPr>
        <w:t>at p. 13</w:t>
      </w:r>
      <w:r w:rsidR="004368B8">
        <w:rPr>
          <w:rFonts w:ascii="Times New Roman" w:hAnsi="Times New Roman"/>
          <w:sz w:val="22"/>
        </w:rPr>
        <w:t xml:space="preserve"> is designed to allow instructors who are so inclined to explore areas of common ground between certain ones of the schools of jurisprudence (most notably natural law and sociological jurisprudence) and the ethical theories to be explored in Chapter 4.</w:t>
      </w:r>
    </w:p>
    <w:p w:rsidR="004368B8" w:rsidRDefault="004368B8">
      <w:pPr>
        <w:tabs>
          <w:tab w:val="left" w:pos="360"/>
          <w:tab w:val="left" w:pos="720"/>
          <w:tab w:val="left" w:pos="1080"/>
          <w:tab w:val="left" w:pos="1440"/>
          <w:tab w:val="left" w:pos="1800"/>
          <w:tab w:val="left" w:pos="2160"/>
        </w:tabs>
        <w:spacing w:before="60"/>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8.</w:t>
      </w:r>
      <w:r>
        <w:rPr>
          <w:rFonts w:ascii="Times New Roman" w:hAnsi="Times New Roman"/>
          <w:sz w:val="22"/>
        </w:rPr>
        <w:tab/>
        <w:t>Briefly note the other schools of jurisp</w:t>
      </w:r>
      <w:r w:rsidR="00FB2807">
        <w:rPr>
          <w:rFonts w:ascii="Times New Roman" w:hAnsi="Times New Roman"/>
          <w:sz w:val="22"/>
        </w:rPr>
        <w:t>rudence--or ways of viewing law--</w:t>
      </w:r>
      <w:r>
        <w:rPr>
          <w:rFonts w:ascii="Times New Roman" w:hAnsi="Times New Roman"/>
          <w:sz w:val="22"/>
        </w:rPr>
        <w:t>described at the end of the chapt</w:t>
      </w:r>
      <w:r w:rsidR="004C6551">
        <w:rPr>
          <w:rFonts w:ascii="Times New Roman" w:hAnsi="Times New Roman"/>
          <w:sz w:val="22"/>
        </w:rPr>
        <w:t xml:space="preserve">er’s section on jurisprudence. </w:t>
      </w:r>
      <w:r>
        <w:rPr>
          <w:rFonts w:ascii="Times New Roman" w:hAnsi="Times New Roman"/>
          <w:sz w:val="22"/>
        </w:rPr>
        <w:t>All of these have received considerable attention in the academic literature in recent years, but the law and economics movement has had the most tangible effect on the development of the law.</w:t>
      </w:r>
    </w:p>
    <w:p w:rsidR="004368B8" w:rsidRDefault="004368B8">
      <w:pPr>
        <w:tabs>
          <w:tab w:val="left" w:pos="360"/>
          <w:tab w:val="left" w:pos="72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rPr>
        <w:t>C.</w:t>
      </w:r>
      <w:r>
        <w:rPr>
          <w:rFonts w:ascii="Times New Roman" w:hAnsi="Times New Roman"/>
          <w:sz w:val="22"/>
        </w:rPr>
        <w:tab/>
        <w:t>The Functions of Law: Material of this kind has long appear</w:t>
      </w:r>
      <w:r w:rsidR="002D4A4F">
        <w:rPr>
          <w:rFonts w:ascii="Times New Roman" w:hAnsi="Times New Roman"/>
          <w:sz w:val="22"/>
        </w:rPr>
        <w:t xml:space="preserve">ed in this text in one form </w:t>
      </w:r>
      <w:r>
        <w:rPr>
          <w:rFonts w:ascii="Times New Roman" w:hAnsi="Times New Roman"/>
          <w:sz w:val="22"/>
        </w:rPr>
        <w:t xml:space="preserve">or another. The text's list of law's functions is not meant to be complete and is only illustrative.  Try to get the class to think of concrete instances in which these various functions collide with one another and tradeoffs seemingly must be made. </w:t>
      </w:r>
    </w:p>
    <w:p w:rsidR="004368B8" w:rsidRDefault="004368B8">
      <w:pPr>
        <w:tabs>
          <w:tab w:val="left" w:pos="360"/>
          <w:tab w:val="left" w:pos="72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rPr>
        <w:t>D.</w:t>
      </w:r>
      <w:r>
        <w:rPr>
          <w:rFonts w:ascii="Times New Roman" w:hAnsi="Times New Roman"/>
          <w:sz w:val="22"/>
        </w:rPr>
        <w:tab/>
        <w:t>Legal Reasoning</w:t>
      </w:r>
    </w:p>
    <w:p w:rsidR="004368B8" w:rsidRDefault="004368B8">
      <w:pPr>
        <w:tabs>
          <w:tab w:val="left" w:pos="360"/>
          <w:tab w:val="left" w:pos="720"/>
          <w:tab w:val="left" w:pos="1080"/>
          <w:tab w:val="left" w:pos="1440"/>
          <w:tab w:val="left" w:pos="1800"/>
          <w:tab w:val="left" w:pos="2160"/>
        </w:tabs>
        <w:spacing w:before="60"/>
        <w:ind w:left="1440" w:hanging="360"/>
        <w:rPr>
          <w:rFonts w:ascii="Times New Roman" w:hAnsi="Times New Roman"/>
          <w:sz w:val="22"/>
        </w:rPr>
      </w:pPr>
      <w:r>
        <w:rPr>
          <w:rFonts w:ascii="Times New Roman" w:hAnsi="Times New Roman"/>
          <w:sz w:val="22"/>
        </w:rPr>
        <w:t>1.</w:t>
      </w:r>
      <w:r>
        <w:rPr>
          <w:rFonts w:ascii="Times New Roman" w:hAnsi="Times New Roman"/>
          <w:sz w:val="22"/>
        </w:rPr>
        <w:tab/>
        <w:t>In emphasizing the importance of legal reasoning, you might stress that: (a) the subject gives some insight into how judges and lawyers think; (b) it helps dispel the notion that the law is a fixed body of predictable black-letter rules; and (c) it gives some idea of the mechanisms by which the law responds to social change.  Note that the types of legal reasoning discussed in the chapter are what the last question in the chapter’s opening vignette</w:t>
      </w:r>
      <w:r w:rsidR="00354528">
        <w:rPr>
          <w:rFonts w:ascii="Times New Roman" w:hAnsi="Times New Roman"/>
          <w:sz w:val="22"/>
        </w:rPr>
        <w:t xml:space="preserve"> contemplates</w:t>
      </w:r>
      <w:r>
        <w:rPr>
          <w:rFonts w:ascii="Times New Roman" w:hAnsi="Times New Roman"/>
          <w:sz w:val="22"/>
        </w:rPr>
        <w:t>.</w:t>
      </w:r>
    </w:p>
    <w:p w:rsidR="001D0E28" w:rsidRDefault="004368B8">
      <w:pPr>
        <w:tabs>
          <w:tab w:val="left" w:pos="360"/>
          <w:tab w:val="left" w:pos="720"/>
          <w:tab w:val="left" w:pos="1080"/>
          <w:tab w:val="left" w:pos="1440"/>
          <w:tab w:val="left" w:pos="1800"/>
          <w:tab w:val="left" w:pos="2160"/>
        </w:tabs>
        <w:spacing w:before="60"/>
        <w:ind w:left="1440" w:hanging="360"/>
        <w:rPr>
          <w:rFonts w:ascii="Times New Roman" w:hAnsi="Times New Roman"/>
          <w:sz w:val="22"/>
        </w:rPr>
      </w:pPr>
      <w:r>
        <w:rPr>
          <w:rFonts w:ascii="Times New Roman" w:hAnsi="Times New Roman"/>
          <w:sz w:val="22"/>
        </w:rPr>
        <w:t>2.</w:t>
      </w:r>
      <w:r>
        <w:rPr>
          <w:rFonts w:ascii="Times New Roman" w:hAnsi="Times New Roman"/>
          <w:sz w:val="22"/>
        </w:rPr>
        <w:tab/>
        <w:t>With regard to case law reasoning:</w:t>
      </w:r>
    </w:p>
    <w:p w:rsidR="004368B8" w:rsidRDefault="00442212" w:rsidP="001D0E28">
      <w:r>
        <w:br w:type="page"/>
      </w:r>
    </w:p>
    <w:p w:rsidR="004368B8" w:rsidRDefault="004368B8">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a.</w:t>
      </w:r>
      <w:r>
        <w:rPr>
          <w:rFonts w:ascii="Times New Roman" w:hAnsi="Times New Roman"/>
          <w:sz w:val="22"/>
        </w:rPr>
        <w:tab/>
        <w:t xml:space="preserve">Discuss the doctrine of </w:t>
      </w:r>
      <w:r>
        <w:rPr>
          <w:rFonts w:ascii="Times New Roman" w:hAnsi="Times New Roman"/>
          <w:i/>
          <w:sz w:val="22"/>
        </w:rPr>
        <w:t>stare decisis</w:t>
      </w:r>
      <w:r>
        <w:rPr>
          <w:rFonts w:ascii="Times New Roman" w:hAnsi="Times New Roman"/>
          <w:sz w:val="22"/>
        </w:rPr>
        <w:t xml:space="preserve"> and what it means to distinguish a prior case.  Elaborate on the elusive difference between a good and a bad distinction.  The text’s brief discussion of employment-at-will-rule and the public policy exception thereto should be helpful in that regard.  Emphasize that even though it may seem rigid at first glance, </w:t>
      </w:r>
      <w:r>
        <w:rPr>
          <w:rFonts w:ascii="Times New Roman" w:hAnsi="Times New Roman"/>
          <w:i/>
          <w:sz w:val="22"/>
        </w:rPr>
        <w:t>stare decisis</w:t>
      </w:r>
      <w:r>
        <w:rPr>
          <w:rFonts w:ascii="Times New Roman" w:hAnsi="Times New Roman"/>
          <w:sz w:val="22"/>
        </w:rPr>
        <w:t xml:space="preserve"> actually is sufficiently flexible to permit much change in the common law.</w:t>
      </w:r>
    </w:p>
    <w:p w:rsidR="004368B8" w:rsidRDefault="004368B8">
      <w:pPr>
        <w:numPr>
          <w:ilvl w:val="0"/>
          <w:numId w:val="4"/>
        </w:numPr>
        <w:tabs>
          <w:tab w:val="left" w:pos="360"/>
          <w:tab w:val="left" w:pos="720"/>
          <w:tab w:val="left" w:pos="1080"/>
          <w:tab w:val="left" w:pos="1440"/>
          <w:tab w:val="left" w:pos="2160"/>
        </w:tabs>
        <w:spacing w:before="60"/>
        <w:rPr>
          <w:rFonts w:ascii="Times New Roman" w:hAnsi="Times New Roman"/>
          <w:sz w:val="22"/>
        </w:rPr>
      </w:pPr>
      <w:r>
        <w:rPr>
          <w:rFonts w:ascii="Times New Roman" w:hAnsi="Times New Roman"/>
          <w:i/>
          <w:iCs/>
          <w:sz w:val="22"/>
        </w:rPr>
        <w:t>Hagan v. Coca-Cola Bottling Co.</w:t>
      </w:r>
      <w:r w:rsidR="00752468">
        <w:rPr>
          <w:rFonts w:ascii="Times New Roman" w:hAnsi="Times New Roman"/>
          <w:sz w:val="22"/>
        </w:rPr>
        <w:t xml:space="preserve"> (p. 14</w:t>
      </w:r>
      <w:r>
        <w:rPr>
          <w:rFonts w:ascii="Times New Roman" w:hAnsi="Times New Roman"/>
          <w:sz w:val="22"/>
        </w:rPr>
        <w:t xml:space="preserve">):  The Florida Supreme Court holds that when a person’s ingestion of a contaminated beverage produces emotional distress, damages for that distress are recoverable in a negligence action even if there was no physical injury-producing “impact.”  In so holding, the court declines to abolish the physical injury/impact rule generally applicable in </w:t>
      </w:r>
      <w:smartTag w:uri="urn:schemas-microsoft-com:office:smarttags" w:element="place">
        <w:smartTag w:uri="urn:schemas-microsoft-com:office:smarttags" w:element="State">
          <w:r>
            <w:rPr>
              <w:rFonts w:ascii="Times New Roman" w:hAnsi="Times New Roman"/>
              <w:sz w:val="22"/>
            </w:rPr>
            <w:t>Florida</w:t>
          </w:r>
        </w:smartTag>
      </w:smartTag>
      <w:r>
        <w:rPr>
          <w:rFonts w:ascii="Times New Roman" w:hAnsi="Times New Roman"/>
          <w:sz w:val="22"/>
        </w:rPr>
        <w:t xml:space="preserve"> to negligent infliction of emotional distress cases, but distinguishes this case from precedents setting forth that rule by noting the special circumstances presented by beverage-ingestion cases.  Those special circumstances called for an exception to at least the physical injury portion of the impact requirement.  In addition, the court relies on precedents that created other exceptions to the physical injury/impact rule.</w:t>
      </w:r>
    </w:p>
    <w:p w:rsidR="004368B8" w:rsidRDefault="004368B8">
      <w:pPr>
        <w:tabs>
          <w:tab w:val="left" w:pos="360"/>
          <w:tab w:val="left" w:pos="720"/>
          <w:tab w:val="left" w:pos="1080"/>
          <w:tab w:val="left" w:pos="1440"/>
          <w:tab w:val="left" w:pos="1800"/>
          <w:tab w:val="left" w:pos="2160"/>
        </w:tabs>
        <w:spacing w:before="60"/>
        <w:ind w:left="1800"/>
        <w:rPr>
          <w:rFonts w:ascii="Times New Roman" w:hAnsi="Times New Roman"/>
          <w:sz w:val="22"/>
        </w:rPr>
      </w:pPr>
      <w:r>
        <w:rPr>
          <w:rFonts w:ascii="Times New Roman" w:hAnsi="Times New Roman"/>
          <w:i/>
          <w:iCs/>
          <w:sz w:val="22"/>
        </w:rPr>
        <w:t>Points for Discussion:</w:t>
      </w:r>
      <w:r>
        <w:rPr>
          <w:rFonts w:ascii="Times New Roman" w:hAnsi="Times New Roman"/>
          <w:sz w:val="22"/>
        </w:rPr>
        <w:t xml:space="preserve">  Note that in declining to abolish the physical injury/impact requirement for all negligent infliction of emotional distress cases, the court avoids ruling on an issue it did not need to address in order to decide the case before it.  However, given the exception recognized in </w:t>
      </w:r>
      <w:r>
        <w:rPr>
          <w:rFonts w:ascii="Times New Roman" w:hAnsi="Times New Roman"/>
          <w:i/>
          <w:iCs/>
          <w:sz w:val="22"/>
        </w:rPr>
        <w:t>Hagan</w:t>
      </w:r>
      <w:r>
        <w:rPr>
          <w:rFonts w:ascii="Times New Roman" w:hAnsi="Times New Roman"/>
          <w:sz w:val="22"/>
        </w:rPr>
        <w:t xml:space="preserve"> and the exceptions recognized in earlier cases, how bright is the future of the physical injury/impact rule?  (Not very, it appears.)  Are the exceptions likely to swallow up the rule?  Ask students the purpose of the physical injury/impact rule.  (Supposedly, the purpose is to help ensure the genuineness of claims of emotional distress.)  Is such a requirement needed in a contaminated-beverage ingestion case?  (The court says “no.”)  Is the court saying that it’s reasonable to think a person who ingests a contaminated beverage might experience emotional distress upon discovery of the contamination, and that we don’t need the physical injury/impact requirement as a check on whether the claimed emotional harm was legitimate?  Note the court’s reliance on a similar case decided by the Maine Supreme Court.  Stress that the </w:t>
      </w:r>
      <w:smartTag w:uri="urn:schemas-microsoft-com:office:smarttags" w:element="State">
        <w:r>
          <w:rPr>
            <w:rFonts w:ascii="Times New Roman" w:hAnsi="Times New Roman"/>
            <w:sz w:val="22"/>
          </w:rPr>
          <w:t>Maine</w:t>
        </w:r>
      </w:smartTag>
      <w:r>
        <w:rPr>
          <w:rFonts w:ascii="Times New Roman" w:hAnsi="Times New Roman"/>
          <w:sz w:val="22"/>
        </w:rPr>
        <w:t xml:space="preserve"> court’s decision was not a binding precedent because it was from a different court system</w:t>
      </w:r>
      <w:r w:rsidR="00354528">
        <w:rPr>
          <w:rFonts w:ascii="Times New Roman" w:hAnsi="Times New Roman"/>
          <w:sz w:val="22"/>
        </w:rPr>
        <w:t>—</w:t>
      </w:r>
      <w:r>
        <w:rPr>
          <w:rFonts w:ascii="Times New Roman" w:hAnsi="Times New Roman"/>
          <w:sz w:val="22"/>
        </w:rPr>
        <w:t xml:space="preserve">meaning that the </w:t>
      </w:r>
      <w:smartTag w:uri="urn:schemas-microsoft-com:office:smarttags" w:element="place">
        <w:smartTag w:uri="urn:schemas-microsoft-com:office:smarttags" w:element="State">
          <w:r>
            <w:rPr>
              <w:rFonts w:ascii="Times New Roman" w:hAnsi="Times New Roman"/>
              <w:sz w:val="22"/>
            </w:rPr>
            <w:t>Florida</w:t>
          </w:r>
        </w:smartTag>
      </w:smartTag>
      <w:r>
        <w:rPr>
          <w:rFonts w:ascii="Times New Roman" w:hAnsi="Times New Roman"/>
          <w:sz w:val="22"/>
        </w:rPr>
        <w:t xml:space="preserve"> court would have been free to choose to reject it.  Obviously, however, the </w:t>
      </w:r>
      <w:smartTag w:uri="urn:schemas-microsoft-com:office:smarttags" w:element="State">
        <w:r>
          <w:rPr>
            <w:rFonts w:ascii="Times New Roman" w:hAnsi="Times New Roman"/>
            <w:sz w:val="22"/>
          </w:rPr>
          <w:t>Florida</w:t>
        </w:r>
      </w:smartTag>
      <w:r>
        <w:rPr>
          <w:rFonts w:ascii="Times New Roman" w:hAnsi="Times New Roman"/>
          <w:sz w:val="22"/>
        </w:rPr>
        <w:t xml:space="preserve"> court chose to follow the </w:t>
      </w:r>
      <w:smartTag w:uri="urn:schemas-microsoft-com:office:smarttags" w:element="place">
        <w:smartTag w:uri="urn:schemas-microsoft-com:office:smarttags" w:element="State">
          <w:r>
            <w:rPr>
              <w:rFonts w:ascii="Times New Roman" w:hAnsi="Times New Roman"/>
              <w:sz w:val="22"/>
            </w:rPr>
            <w:t>Maine</w:t>
          </w:r>
        </w:smartTag>
      </w:smartTag>
      <w:r>
        <w:rPr>
          <w:rFonts w:ascii="Times New Roman" w:hAnsi="Times New Roman"/>
          <w:sz w:val="22"/>
        </w:rPr>
        <w:t xml:space="preserve"> decision.</w:t>
      </w:r>
    </w:p>
    <w:p w:rsidR="004368B8" w:rsidRDefault="004368B8">
      <w:pPr>
        <w:tabs>
          <w:tab w:val="left" w:pos="360"/>
          <w:tab w:val="left" w:pos="720"/>
          <w:tab w:val="left" w:pos="1080"/>
          <w:tab w:val="left" w:pos="1440"/>
          <w:tab w:val="left" w:pos="1800"/>
          <w:tab w:val="left" w:pos="2160"/>
        </w:tabs>
        <w:spacing w:before="60"/>
        <w:ind w:left="1800"/>
        <w:rPr>
          <w:rFonts w:ascii="Times New Roman" w:hAnsi="Times New Roman"/>
          <w:sz w:val="22"/>
        </w:rPr>
      </w:pPr>
      <w:r>
        <w:rPr>
          <w:rFonts w:ascii="Times New Roman" w:hAnsi="Times New Roman"/>
          <w:sz w:val="22"/>
        </w:rPr>
        <w:t>c.</w:t>
      </w:r>
      <w:r>
        <w:rPr>
          <w:rFonts w:ascii="Times New Roman" w:hAnsi="Times New Roman"/>
          <w:sz w:val="22"/>
        </w:rPr>
        <w:tab/>
        <w:t xml:space="preserve">For </w:t>
      </w:r>
      <w:r w:rsidR="00D37D9C">
        <w:rPr>
          <w:rFonts w:ascii="Times New Roman" w:hAnsi="Times New Roman"/>
          <w:sz w:val="22"/>
        </w:rPr>
        <w:t xml:space="preserve">a classic illustration of case law reasoning, instructors might discuss with students the case of </w:t>
      </w:r>
      <w:r w:rsidR="00D37D9C" w:rsidRPr="001D0E28">
        <w:rPr>
          <w:rFonts w:ascii="Times New Roman" w:hAnsi="Times New Roman"/>
          <w:i/>
          <w:iCs/>
          <w:sz w:val="22"/>
          <w:szCs w:val="22"/>
        </w:rPr>
        <w:t>MacPherson v. Buick Motor Co.</w:t>
      </w:r>
      <w:r w:rsidR="00D37D9C" w:rsidRPr="001D0E28">
        <w:rPr>
          <w:rFonts w:ascii="Times New Roman" w:hAnsi="Times New Roman"/>
          <w:sz w:val="22"/>
          <w:szCs w:val="22"/>
        </w:rPr>
        <w:t>, 111 N.E. 1050 (N.Y. Ct. App. 1916)</w:t>
      </w:r>
      <w:r>
        <w:rPr>
          <w:rFonts w:ascii="Times New Roman" w:hAnsi="Times New Roman"/>
          <w:sz w:val="22"/>
        </w:rPr>
        <w:t>.</w:t>
      </w:r>
    </w:p>
    <w:p w:rsidR="004368B8" w:rsidRDefault="004D183F">
      <w:pPr>
        <w:pStyle w:val="3"/>
        <w:tabs>
          <w:tab w:val="left" w:pos="1440"/>
          <w:tab w:val="left" w:pos="1800"/>
          <w:tab w:val="left" w:pos="2160"/>
        </w:tabs>
      </w:pPr>
      <w:r>
        <w:t>3</w:t>
      </w:r>
      <w:r w:rsidR="004368B8">
        <w:t>.</w:t>
      </w:r>
      <w:r w:rsidR="004368B8">
        <w:tab/>
        <w:t>With regard to statutory interpretation:</w:t>
      </w:r>
    </w:p>
    <w:p w:rsidR="004368B8" w:rsidRDefault="004368B8">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a.</w:t>
      </w:r>
      <w:r>
        <w:rPr>
          <w:rFonts w:ascii="Times New Roman" w:hAnsi="Times New Roman"/>
          <w:sz w:val="22"/>
        </w:rPr>
        <w:tab/>
        <w:t>You might begin by suggesting why, at first glance, statutory interpretation seems to present fewer problems than case law reasoning: one starts with a fixed, authoritative statement of the rule.  Then launch into why things aren’t so simple.  Note the reasons why statutes are often ambiguous or difficult to apply.</w:t>
      </w:r>
    </w:p>
    <w:p w:rsidR="004368B8" w:rsidRDefault="004368B8" w:rsidP="007A33A4">
      <w:pPr>
        <w:tabs>
          <w:tab w:val="left" w:pos="360"/>
          <w:tab w:val="left" w:pos="720"/>
          <w:tab w:val="left" w:pos="1080"/>
          <w:tab w:val="left" w:pos="1440"/>
          <w:tab w:val="left" w:pos="1800"/>
          <w:tab w:val="left" w:pos="2160"/>
        </w:tabs>
        <w:spacing w:before="60"/>
        <w:ind w:left="1800" w:hanging="360"/>
      </w:pPr>
      <w:r>
        <w:rPr>
          <w:rFonts w:ascii="Times New Roman" w:hAnsi="Times New Roman"/>
          <w:sz w:val="22"/>
        </w:rPr>
        <w:t>b.</w:t>
      </w:r>
      <w:r>
        <w:rPr>
          <w:rFonts w:ascii="Times New Roman" w:hAnsi="Times New Roman"/>
          <w:sz w:val="22"/>
        </w:rPr>
        <w:tab/>
        <w:t>Students may ask which technique takes priority when the various canons of statutory interpretation actually or seemingly conflict.  Emphasize that no single technique takes priority, that courts are free to pick and choose from among the interpretation techniques, and that courts are sometimes result-oriented when they decide on the appropriate technique(s) to use.</w:t>
      </w:r>
      <w:r w:rsidR="00457ED6">
        <w:rPr>
          <w:rFonts w:ascii="Times New Roman" w:hAnsi="Times New Roman"/>
          <w:sz w:val="22"/>
        </w:rPr>
        <w:t xml:space="preserve">  Sometimes they combine techniques, as illustrated by some of the text cases discussed later herein.</w:t>
      </w:r>
      <w:r w:rsidR="007A33A4">
        <w:rPr>
          <w:rFonts w:ascii="Times New Roman" w:hAnsi="Times New Roman"/>
          <w:sz w:val="22"/>
        </w:rPr>
        <w:t xml:space="preserve">  The text uses a “toolbox” metaphor to illustrate how judges tend to use the various techniques for various purposes, for both pragmatic and policy-driven reasons.</w:t>
      </w:r>
      <w:r w:rsidR="001D0E28">
        <w:br w:type="page"/>
      </w:r>
    </w:p>
    <w:p w:rsidR="00E62DD3" w:rsidRDefault="004D183F">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c</w:t>
      </w:r>
      <w:r w:rsidR="004368B8">
        <w:rPr>
          <w:rFonts w:ascii="Times New Roman" w:hAnsi="Times New Roman"/>
          <w:sz w:val="22"/>
        </w:rPr>
        <w:t>.</w:t>
      </w:r>
      <w:r w:rsidR="004368B8">
        <w:rPr>
          <w:rFonts w:ascii="Times New Roman" w:hAnsi="Times New Roman"/>
          <w:sz w:val="22"/>
        </w:rPr>
        <w:tab/>
      </w:r>
      <w:r>
        <w:rPr>
          <w:rFonts w:ascii="Times New Roman" w:hAnsi="Times New Roman"/>
          <w:sz w:val="22"/>
        </w:rPr>
        <w:t xml:space="preserve">For examples of uses of the </w:t>
      </w:r>
      <w:r w:rsidR="00E62DD3">
        <w:rPr>
          <w:rFonts w:ascii="Times New Roman" w:hAnsi="Times New Roman"/>
          <w:sz w:val="22"/>
        </w:rPr>
        <w:t>pl</w:t>
      </w:r>
      <w:r>
        <w:rPr>
          <w:rFonts w:ascii="Times New Roman" w:hAnsi="Times New Roman"/>
          <w:sz w:val="22"/>
        </w:rPr>
        <w:t>ain meaning techniqu</w:t>
      </w:r>
      <w:r w:rsidR="00E62DD3">
        <w:rPr>
          <w:rFonts w:ascii="Times New Roman" w:hAnsi="Times New Roman"/>
          <w:sz w:val="22"/>
        </w:rPr>
        <w:t>e, see Problem</w:t>
      </w:r>
      <w:r w:rsidR="007E3BDA">
        <w:rPr>
          <w:rFonts w:ascii="Times New Roman" w:hAnsi="Times New Roman"/>
          <w:sz w:val="22"/>
        </w:rPr>
        <w:t>s #1</w:t>
      </w:r>
      <w:r w:rsidR="007A33A4">
        <w:rPr>
          <w:rFonts w:ascii="Times New Roman" w:hAnsi="Times New Roman"/>
          <w:sz w:val="22"/>
        </w:rPr>
        <w:t>,</w:t>
      </w:r>
      <w:r w:rsidR="007E3BDA">
        <w:rPr>
          <w:rFonts w:ascii="Times New Roman" w:hAnsi="Times New Roman"/>
          <w:sz w:val="22"/>
        </w:rPr>
        <w:t xml:space="preserve"> #4</w:t>
      </w:r>
      <w:r w:rsidR="007A33A4">
        <w:rPr>
          <w:rFonts w:ascii="Times New Roman" w:hAnsi="Times New Roman"/>
          <w:sz w:val="22"/>
        </w:rPr>
        <w:t>, and #6</w:t>
      </w:r>
      <w:r>
        <w:rPr>
          <w:rFonts w:ascii="Times New Roman" w:hAnsi="Times New Roman"/>
          <w:sz w:val="22"/>
        </w:rPr>
        <w:t xml:space="preserve">. </w:t>
      </w:r>
      <w:r w:rsidR="007E3BDA">
        <w:rPr>
          <w:rFonts w:ascii="Times New Roman" w:hAnsi="Times New Roman"/>
          <w:sz w:val="22"/>
        </w:rPr>
        <w:t xml:space="preserve">See also </w:t>
      </w:r>
      <w:r w:rsidR="007A33A4">
        <w:rPr>
          <w:rFonts w:ascii="Times New Roman" w:hAnsi="Times New Roman"/>
          <w:i/>
          <w:sz w:val="22"/>
        </w:rPr>
        <w:t>James v. City of Costa Mesa</w:t>
      </w:r>
      <w:r w:rsidR="007E3BDA">
        <w:rPr>
          <w:rFonts w:ascii="Times New Roman" w:hAnsi="Times New Roman"/>
          <w:sz w:val="22"/>
        </w:rPr>
        <w:t>, a text case discussed below.</w:t>
      </w:r>
    </w:p>
    <w:p w:rsidR="00E62DD3" w:rsidRDefault="004D183F" w:rsidP="00E62DD3">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d</w:t>
      </w:r>
      <w:r w:rsidR="00E62DD3">
        <w:rPr>
          <w:rFonts w:ascii="Times New Roman" w:hAnsi="Times New Roman"/>
          <w:sz w:val="22"/>
        </w:rPr>
        <w:t>.</w:t>
      </w:r>
      <w:r w:rsidR="00E62DD3">
        <w:rPr>
          <w:rFonts w:ascii="Times New Roman" w:hAnsi="Times New Roman"/>
          <w:sz w:val="22"/>
        </w:rPr>
        <w:tab/>
      </w:r>
      <w:r w:rsidR="004368B8">
        <w:rPr>
          <w:rFonts w:ascii="Times New Roman" w:hAnsi="Times New Roman"/>
          <w:sz w:val="22"/>
        </w:rPr>
        <w:t xml:space="preserve">Go through the various legislative history sources.  Note that courts use them both when the statute is ambiguous and, increasingly, when the language is plain.  Also, note the two ways in which courts use legislative history, which really are different inquiries.  The distinction, roughly speaking, is between what the legislature thought particular words meant and the overall ends it sought to advance (i.e., the legislative purpose).  Interpreting statutory language in light of the legislative purpose may sometimes lead to a result different from the result that would have been spawned by rigid adherence to the actual words used in the statute.  See, for instance, </w:t>
      </w:r>
      <w:r w:rsidR="004368B8">
        <w:rPr>
          <w:rFonts w:ascii="Times New Roman" w:hAnsi="Times New Roman"/>
          <w:i/>
          <w:iCs/>
          <w:sz w:val="22"/>
        </w:rPr>
        <w:t>United Steelworkers v. Weber</w:t>
      </w:r>
      <w:r w:rsidR="007A33A4">
        <w:rPr>
          <w:rFonts w:ascii="Times New Roman" w:hAnsi="Times New Roman"/>
          <w:sz w:val="22"/>
        </w:rPr>
        <w:t xml:space="preserve">, </w:t>
      </w:r>
      <w:r w:rsidR="00E62DD3">
        <w:rPr>
          <w:rFonts w:ascii="Times New Roman" w:hAnsi="Times New Roman"/>
          <w:sz w:val="22"/>
        </w:rPr>
        <w:t xml:space="preserve">Problem #2, discussed below) and the </w:t>
      </w:r>
      <w:r w:rsidR="00E62DD3">
        <w:rPr>
          <w:rFonts w:ascii="Times New Roman" w:hAnsi="Times New Roman"/>
          <w:i/>
          <w:sz w:val="22"/>
        </w:rPr>
        <w:t>General Dynamics</w:t>
      </w:r>
      <w:r w:rsidR="00E62DD3">
        <w:rPr>
          <w:rFonts w:ascii="Times New Roman" w:hAnsi="Times New Roman"/>
          <w:sz w:val="22"/>
        </w:rPr>
        <w:t xml:space="preserve"> case (</w:t>
      </w:r>
      <w:r w:rsidR="00FC3D6B">
        <w:rPr>
          <w:rFonts w:ascii="Times New Roman" w:hAnsi="Times New Roman"/>
          <w:sz w:val="22"/>
        </w:rPr>
        <w:t>formerly a text but now Problem #5</w:t>
      </w:r>
      <w:r w:rsidR="00B33CA1">
        <w:rPr>
          <w:rFonts w:ascii="Times New Roman" w:hAnsi="Times New Roman"/>
          <w:sz w:val="22"/>
        </w:rPr>
        <w:t>)</w:t>
      </w:r>
      <w:r>
        <w:rPr>
          <w:rFonts w:ascii="Times New Roman" w:hAnsi="Times New Roman"/>
          <w:sz w:val="22"/>
        </w:rPr>
        <w:t>.</w:t>
      </w:r>
    </w:p>
    <w:p w:rsidR="00E62DD3" w:rsidRPr="00493C00" w:rsidRDefault="004D183F" w:rsidP="00E62DD3">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e</w:t>
      </w:r>
      <w:r w:rsidR="00E62DD3">
        <w:rPr>
          <w:rFonts w:ascii="Times New Roman" w:hAnsi="Times New Roman"/>
          <w:sz w:val="22"/>
        </w:rPr>
        <w:t>.</w:t>
      </w:r>
      <w:r w:rsidR="00E62DD3">
        <w:rPr>
          <w:rFonts w:ascii="Times New Roman" w:hAnsi="Times New Roman"/>
          <w:sz w:val="22"/>
        </w:rPr>
        <w:tab/>
      </w:r>
      <w:r w:rsidR="004368B8">
        <w:rPr>
          <w:rFonts w:ascii="Times New Roman" w:hAnsi="Times New Roman"/>
          <w:sz w:val="22"/>
        </w:rPr>
        <w:t>Discuss prior interpretations and the factors that help determine their authoritativeness. There is another argument for following prior interpretations besides the stability-oriented argument discussed in the text.  This is the idea that, by not acting to overturn a prior interpretation, the legislature impliedly approved it.  Here, you might elaborate by distinguishing situations in which the legislature reconsidered and overhauled the whole act and did not amend the provision in question, from situations in which the legislature simply did nothing.  Since in the first case there is some reason to think the legislature might have known about the prior interpretation, the rationale for following it is stronger there.  Even in the latter situation, however, there may still be a reasonably strong argument that the prior interpretation should be followed.</w:t>
      </w:r>
      <w:r w:rsidR="00493C00">
        <w:rPr>
          <w:rFonts w:ascii="Times New Roman" w:hAnsi="Times New Roman"/>
          <w:sz w:val="22"/>
        </w:rPr>
        <w:t xml:space="preserve">  This is known as “statutory </w:t>
      </w:r>
      <w:r w:rsidR="00493C00" w:rsidRPr="00493C00">
        <w:rPr>
          <w:rFonts w:ascii="Times New Roman" w:hAnsi="Times New Roman"/>
          <w:i/>
          <w:sz w:val="22"/>
        </w:rPr>
        <w:t>stare decisis</w:t>
      </w:r>
      <w:r w:rsidR="00493C00">
        <w:rPr>
          <w:rFonts w:ascii="Times New Roman" w:hAnsi="Times New Roman"/>
          <w:sz w:val="22"/>
        </w:rPr>
        <w:t xml:space="preserve">,” and its most famous application is in the professional baseball antitrust exemption cases.  See, for example, </w:t>
      </w:r>
      <w:r w:rsidR="00493C00">
        <w:rPr>
          <w:rFonts w:ascii="Times New Roman" w:hAnsi="Times New Roman"/>
          <w:i/>
          <w:sz w:val="22"/>
        </w:rPr>
        <w:t>Federal Baseball Club of Baltimore, Inc. v. National League of Professional Baseball Clubs</w:t>
      </w:r>
      <w:r w:rsidR="00493C00">
        <w:rPr>
          <w:rFonts w:ascii="Times New Roman" w:hAnsi="Times New Roman"/>
          <w:sz w:val="22"/>
        </w:rPr>
        <w:t xml:space="preserve">, 259 U.S. 200 (1922); </w:t>
      </w:r>
      <w:r w:rsidR="00493C00">
        <w:rPr>
          <w:rFonts w:ascii="Times New Roman" w:hAnsi="Times New Roman"/>
          <w:i/>
          <w:sz w:val="22"/>
        </w:rPr>
        <w:t>Toolson v. New York Yankees, Inc.</w:t>
      </w:r>
      <w:r w:rsidR="00493C00">
        <w:rPr>
          <w:rFonts w:ascii="Times New Roman" w:hAnsi="Times New Roman"/>
          <w:sz w:val="22"/>
        </w:rPr>
        <w:t xml:space="preserve">, 346 U.S. 356 (1953); </w:t>
      </w:r>
      <w:r w:rsidR="00493C00">
        <w:rPr>
          <w:rFonts w:ascii="Times New Roman" w:hAnsi="Times New Roman"/>
          <w:i/>
          <w:sz w:val="22"/>
        </w:rPr>
        <w:t>Flood v. Kuhn</w:t>
      </w:r>
      <w:r w:rsidR="00493C00">
        <w:rPr>
          <w:rFonts w:ascii="Times New Roman" w:hAnsi="Times New Roman"/>
          <w:sz w:val="22"/>
        </w:rPr>
        <w:t>, 407 U.S. 258 (1972).</w:t>
      </w:r>
    </w:p>
    <w:p w:rsidR="004368B8" w:rsidRPr="00493C00" w:rsidRDefault="004D183F" w:rsidP="00E62DD3">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f</w:t>
      </w:r>
      <w:r w:rsidR="00E62DD3">
        <w:rPr>
          <w:rFonts w:ascii="Times New Roman" w:hAnsi="Times New Roman"/>
          <w:sz w:val="22"/>
        </w:rPr>
        <w:t>.</w:t>
      </w:r>
      <w:r w:rsidR="00E62DD3">
        <w:rPr>
          <w:rFonts w:ascii="Times New Roman" w:hAnsi="Times New Roman"/>
          <w:sz w:val="22"/>
        </w:rPr>
        <w:tab/>
      </w:r>
      <w:r w:rsidR="004368B8">
        <w:rPr>
          <w:rFonts w:ascii="Times New Roman" w:hAnsi="Times New Roman"/>
          <w:sz w:val="22"/>
        </w:rPr>
        <w:t xml:space="preserve">Note the </w:t>
      </w:r>
      <w:r w:rsidR="004368B8">
        <w:rPr>
          <w:rFonts w:ascii="Times New Roman" w:hAnsi="Times New Roman"/>
          <w:i/>
          <w:iCs/>
          <w:sz w:val="22"/>
        </w:rPr>
        <w:t xml:space="preserve">general public purpose </w:t>
      </w:r>
      <w:r w:rsidR="00354528">
        <w:rPr>
          <w:rFonts w:ascii="Times New Roman" w:hAnsi="Times New Roman"/>
          <w:sz w:val="22"/>
        </w:rPr>
        <w:t>technique</w:t>
      </w:r>
      <w:r w:rsidR="004368B8">
        <w:rPr>
          <w:rFonts w:ascii="Times New Roman" w:hAnsi="Times New Roman"/>
          <w:sz w:val="22"/>
        </w:rPr>
        <w:t xml:space="preserve"> is not used as often as the other techniques (at least not by itself).  Also note the </w:t>
      </w:r>
      <w:r w:rsidR="004368B8">
        <w:rPr>
          <w:rFonts w:ascii="Times New Roman" w:hAnsi="Times New Roman"/>
          <w:i/>
          <w:iCs/>
          <w:sz w:val="22"/>
        </w:rPr>
        <w:t>ejusdem generis</w:t>
      </w:r>
      <w:r w:rsidR="004368B8">
        <w:rPr>
          <w:rFonts w:ascii="Times New Roman" w:hAnsi="Times New Roman"/>
          <w:sz w:val="22"/>
        </w:rPr>
        <w:t xml:space="preserve"> maxim, which courts sometimes employ, and provide further examples of its operation.</w:t>
      </w:r>
      <w:r>
        <w:rPr>
          <w:rFonts w:ascii="Times New Roman" w:hAnsi="Times New Roman"/>
          <w:sz w:val="22"/>
        </w:rPr>
        <w:t xml:space="preserve"> </w:t>
      </w:r>
      <w:r w:rsidR="000D673B">
        <w:rPr>
          <w:rFonts w:ascii="Times New Roman" w:hAnsi="Times New Roman"/>
          <w:sz w:val="22"/>
        </w:rPr>
        <w:t>Instructors also</w:t>
      </w:r>
      <w:r w:rsidR="004368B8">
        <w:rPr>
          <w:rFonts w:ascii="Times New Roman" w:hAnsi="Times New Roman"/>
          <w:sz w:val="22"/>
        </w:rPr>
        <w:t xml:space="preserve"> might want to mention and illustrate </w:t>
      </w:r>
      <w:r w:rsidR="00493C00">
        <w:rPr>
          <w:rFonts w:ascii="Times New Roman" w:hAnsi="Times New Roman"/>
          <w:sz w:val="22"/>
        </w:rPr>
        <w:t>other</w:t>
      </w:r>
      <w:r w:rsidR="004368B8">
        <w:rPr>
          <w:rFonts w:ascii="Times New Roman" w:hAnsi="Times New Roman"/>
          <w:sz w:val="22"/>
        </w:rPr>
        <w:t xml:space="preserve"> </w:t>
      </w:r>
      <w:r w:rsidR="004D6B62">
        <w:rPr>
          <w:rFonts w:ascii="Times New Roman" w:hAnsi="Times New Roman"/>
          <w:sz w:val="22"/>
        </w:rPr>
        <w:t>maxim</w:t>
      </w:r>
      <w:r w:rsidR="00493C00">
        <w:rPr>
          <w:rFonts w:ascii="Times New Roman" w:hAnsi="Times New Roman"/>
          <w:sz w:val="22"/>
        </w:rPr>
        <w:t>s not discussed in the text, including</w:t>
      </w:r>
      <w:r w:rsidR="004368B8">
        <w:rPr>
          <w:rFonts w:ascii="Times New Roman" w:hAnsi="Times New Roman"/>
          <w:sz w:val="22"/>
        </w:rPr>
        <w:t xml:space="preserve"> </w:t>
      </w:r>
      <w:r w:rsidR="004368B8">
        <w:rPr>
          <w:rFonts w:ascii="Times New Roman" w:hAnsi="Times New Roman"/>
          <w:i/>
          <w:iCs/>
          <w:sz w:val="22"/>
        </w:rPr>
        <w:t>expressio unius est exclusio alterius</w:t>
      </w:r>
      <w:r w:rsidR="004368B8">
        <w:rPr>
          <w:rFonts w:ascii="Times New Roman" w:hAnsi="Times New Roman"/>
          <w:sz w:val="22"/>
        </w:rPr>
        <w:t xml:space="preserve"> (the expression of one thing is the exclusion of another).</w:t>
      </w:r>
      <w:r w:rsidR="003F09E1">
        <w:rPr>
          <w:rFonts w:ascii="Times New Roman" w:hAnsi="Times New Roman"/>
          <w:sz w:val="22"/>
        </w:rPr>
        <w:t xml:space="preserve">  </w:t>
      </w:r>
      <w:r w:rsidR="003F09E1" w:rsidRPr="003F09E1">
        <w:rPr>
          <w:rFonts w:ascii="Times New Roman" w:hAnsi="Times New Roman"/>
          <w:i/>
          <w:sz w:val="22"/>
        </w:rPr>
        <w:t>Trentadue v. Gorton</w:t>
      </w:r>
      <w:r w:rsidR="003F09E1">
        <w:rPr>
          <w:rFonts w:ascii="Times New Roman" w:hAnsi="Times New Roman"/>
          <w:sz w:val="22"/>
        </w:rPr>
        <w:t xml:space="preserve">, </w:t>
      </w:r>
      <w:r w:rsidR="00493C00">
        <w:rPr>
          <w:rFonts w:ascii="Times New Roman" w:hAnsi="Times New Roman"/>
          <w:sz w:val="22"/>
        </w:rPr>
        <w:t>a former text case, but now included Problem #4</w:t>
      </w:r>
      <w:r w:rsidR="003F09E1">
        <w:rPr>
          <w:rFonts w:ascii="Times New Roman" w:hAnsi="Times New Roman"/>
          <w:sz w:val="22"/>
        </w:rPr>
        <w:t xml:space="preserve">, </w:t>
      </w:r>
      <w:r w:rsidR="00493C00">
        <w:rPr>
          <w:rFonts w:ascii="Times New Roman" w:hAnsi="Times New Roman"/>
          <w:sz w:val="22"/>
        </w:rPr>
        <w:t>provides an opportunity to explore it</w:t>
      </w:r>
      <w:r w:rsidR="003F09E1">
        <w:rPr>
          <w:rFonts w:ascii="Times New Roman" w:hAnsi="Times New Roman"/>
          <w:sz w:val="22"/>
        </w:rPr>
        <w:t>.</w:t>
      </w:r>
      <w:r w:rsidR="00493C00">
        <w:rPr>
          <w:rFonts w:ascii="Times New Roman" w:hAnsi="Times New Roman"/>
          <w:sz w:val="22"/>
        </w:rPr>
        <w:t xml:space="preserve">  Moreover, though the court does not explicitly name it as such, the majority and dissenting opinions in </w:t>
      </w:r>
      <w:r w:rsidR="00493C00">
        <w:rPr>
          <w:rFonts w:ascii="Times New Roman" w:hAnsi="Times New Roman"/>
          <w:i/>
          <w:sz w:val="22"/>
        </w:rPr>
        <w:t>James v. City of Costa Mesa</w:t>
      </w:r>
      <w:r w:rsidR="00493C00">
        <w:rPr>
          <w:rFonts w:ascii="Times New Roman" w:hAnsi="Times New Roman"/>
          <w:sz w:val="22"/>
        </w:rPr>
        <w:t xml:space="preserve"> (discussed below) spar over the application of the </w:t>
      </w:r>
      <w:r w:rsidR="00E852E3">
        <w:rPr>
          <w:rFonts w:ascii="Times New Roman" w:hAnsi="Times New Roman"/>
          <w:sz w:val="22"/>
        </w:rPr>
        <w:t xml:space="preserve">so-called “rule against surplusage” maxim, in which courts are counseled, when confronting a </w:t>
      </w:r>
      <w:r w:rsidR="00E852E3" w:rsidRPr="00E852E3">
        <w:rPr>
          <w:rFonts w:ascii="Times New Roman" w:hAnsi="Times New Roman"/>
          <w:sz w:val="22"/>
        </w:rPr>
        <w:t xml:space="preserve">reading of a statute </w:t>
      </w:r>
      <w:r w:rsidR="00E852E3">
        <w:rPr>
          <w:rFonts w:ascii="Times New Roman" w:hAnsi="Times New Roman"/>
          <w:sz w:val="22"/>
        </w:rPr>
        <w:t xml:space="preserve">that </w:t>
      </w:r>
      <w:r w:rsidR="00E852E3" w:rsidRPr="00E852E3">
        <w:rPr>
          <w:rFonts w:ascii="Times New Roman" w:hAnsi="Times New Roman"/>
          <w:sz w:val="22"/>
        </w:rPr>
        <w:t xml:space="preserve">would make one or more parts of the statute redundant and another reading would avoid the redundancy, </w:t>
      </w:r>
      <w:r w:rsidR="00E852E3">
        <w:rPr>
          <w:rFonts w:ascii="Times New Roman" w:hAnsi="Times New Roman"/>
          <w:sz w:val="22"/>
        </w:rPr>
        <w:t xml:space="preserve">that </w:t>
      </w:r>
      <w:r w:rsidR="00E852E3" w:rsidRPr="00E852E3">
        <w:rPr>
          <w:rFonts w:ascii="Times New Roman" w:hAnsi="Times New Roman"/>
          <w:sz w:val="22"/>
        </w:rPr>
        <w:t xml:space="preserve">the </w:t>
      </w:r>
      <w:r w:rsidR="00E852E3">
        <w:rPr>
          <w:rFonts w:ascii="Times New Roman" w:hAnsi="Times New Roman"/>
          <w:sz w:val="22"/>
        </w:rPr>
        <w:t xml:space="preserve">latter </w:t>
      </w:r>
      <w:r w:rsidR="00E852E3" w:rsidRPr="00E852E3">
        <w:rPr>
          <w:rFonts w:ascii="Times New Roman" w:hAnsi="Times New Roman"/>
          <w:sz w:val="22"/>
        </w:rPr>
        <w:t>reading is preferred.</w:t>
      </w:r>
      <w:r w:rsidR="00E852E3">
        <w:rPr>
          <w:rFonts w:ascii="Times New Roman" w:hAnsi="Times New Roman"/>
          <w:sz w:val="22"/>
        </w:rPr>
        <w:t xml:space="preserve">  This is raised in the court’s discussion of whether the word “other” is redundant under James’s proposed reading of the statute.</w:t>
      </w:r>
    </w:p>
    <w:p w:rsidR="004368B8" w:rsidRDefault="003F09E1">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g</w:t>
      </w:r>
      <w:r w:rsidR="00EA694E">
        <w:rPr>
          <w:rFonts w:ascii="Times New Roman" w:hAnsi="Times New Roman"/>
          <w:sz w:val="22"/>
        </w:rPr>
        <w:t>.</w:t>
      </w:r>
      <w:r w:rsidR="00EA694E">
        <w:rPr>
          <w:rFonts w:ascii="Times New Roman" w:hAnsi="Times New Roman"/>
          <w:sz w:val="22"/>
        </w:rPr>
        <w:tab/>
      </w:r>
      <w:r w:rsidR="004368B8">
        <w:rPr>
          <w:rFonts w:ascii="Times New Roman" w:hAnsi="Times New Roman"/>
          <w:i/>
          <w:iCs/>
          <w:sz w:val="22"/>
        </w:rPr>
        <w:t xml:space="preserve">United </w:t>
      </w:r>
      <w:r w:rsidR="004368B8">
        <w:rPr>
          <w:rFonts w:ascii="Times New Roman" w:hAnsi="Times New Roman"/>
          <w:i/>
          <w:sz w:val="22"/>
        </w:rPr>
        <w:t>Steelworkers v. Weber</w:t>
      </w:r>
      <w:r w:rsidR="00EA694E">
        <w:rPr>
          <w:rFonts w:ascii="Times New Roman" w:hAnsi="Times New Roman"/>
          <w:sz w:val="22"/>
        </w:rPr>
        <w:t xml:space="preserve"> (former text case; now Problem #2</w:t>
      </w:r>
      <w:r w:rsidR="004368B8">
        <w:rPr>
          <w:rFonts w:ascii="Times New Roman" w:hAnsi="Times New Roman"/>
          <w:sz w:val="22"/>
        </w:rPr>
        <w:t xml:space="preserve">):  The Supreme Court holds that a "voluntary" private employment plan preferring racial minorities over whites did not violate Title VII of the 1964 Civil Rights Act.  (In reality, the plan at issue in </w:t>
      </w:r>
      <w:r w:rsidR="004368B8">
        <w:rPr>
          <w:rFonts w:ascii="Times New Roman" w:hAnsi="Times New Roman"/>
          <w:i/>
          <w:sz w:val="22"/>
        </w:rPr>
        <w:t>Weber</w:t>
      </w:r>
      <w:r w:rsidR="004368B8">
        <w:rPr>
          <w:rFonts w:ascii="Times New Roman" w:hAnsi="Times New Roman"/>
          <w:sz w:val="22"/>
        </w:rPr>
        <w:t xml:space="preserve"> was not entirely voluntary, because Kaiser and the union agreed upon the plan in part because of concern over the possibility of private lawsuits and/or action by the Office of Federal Contract Compliance Programs.)  </w:t>
      </w:r>
      <w:r w:rsidR="004368B8">
        <w:rPr>
          <w:rFonts w:ascii="Times New Roman" w:hAnsi="Times New Roman"/>
          <w:i/>
          <w:sz w:val="22"/>
        </w:rPr>
        <w:t>Weber</w:t>
      </w:r>
      <w:r w:rsidR="004368B8">
        <w:rPr>
          <w:rFonts w:ascii="Times New Roman" w:hAnsi="Times New Roman"/>
          <w:sz w:val="22"/>
        </w:rPr>
        <w:t xml:space="preserve"> is an obvious </w:t>
      </w:r>
      <w:r w:rsidR="004368B8">
        <w:rPr>
          <w:rFonts w:ascii="Times New Roman" w:hAnsi="Times New Roman"/>
          <w:i/>
          <w:iCs/>
          <w:sz w:val="22"/>
        </w:rPr>
        <w:t>legislative purpose</w:t>
      </w:r>
      <w:r w:rsidR="004368B8">
        <w:rPr>
          <w:rFonts w:ascii="Times New Roman" w:hAnsi="Times New Roman"/>
          <w:sz w:val="22"/>
        </w:rPr>
        <w:t xml:space="preserve"> decision.</w:t>
      </w:r>
    </w:p>
    <w:p w:rsidR="00442212" w:rsidRDefault="00E852E3">
      <w:pPr>
        <w:tabs>
          <w:tab w:val="left" w:pos="360"/>
          <w:tab w:val="left" w:pos="720"/>
          <w:tab w:val="left" w:pos="1080"/>
          <w:tab w:val="left" w:pos="1440"/>
          <w:tab w:val="left" w:pos="1800"/>
          <w:tab w:val="left" w:pos="2160"/>
        </w:tabs>
        <w:spacing w:before="60"/>
        <w:ind w:left="1800"/>
        <w:rPr>
          <w:rFonts w:ascii="Times New Roman" w:hAnsi="Times New Roman"/>
          <w:sz w:val="22"/>
        </w:rPr>
      </w:pPr>
      <w:r>
        <w:rPr>
          <w:rFonts w:ascii="Times New Roman" w:hAnsi="Times New Roman"/>
          <w:sz w:val="22"/>
        </w:rPr>
        <w:tab/>
      </w:r>
      <w:r w:rsidR="004368B8">
        <w:rPr>
          <w:rFonts w:ascii="Times New Roman" w:hAnsi="Times New Roman"/>
          <w:sz w:val="22"/>
        </w:rPr>
        <w:t>Note that the Court sets out what have subsequently become the tests for the permissibility of voluntary minority (and gender) preferences under Title VII.  This material is relevant to Cha</w:t>
      </w:r>
      <w:r w:rsidR="00FC3D6B">
        <w:rPr>
          <w:rFonts w:ascii="Times New Roman" w:hAnsi="Times New Roman"/>
          <w:sz w:val="22"/>
        </w:rPr>
        <w:t>pter 51 because as of 2011</w:t>
      </w:r>
      <w:r w:rsidR="004368B8">
        <w:rPr>
          <w:rFonts w:ascii="Times New Roman" w:hAnsi="Times New Roman"/>
          <w:sz w:val="22"/>
        </w:rPr>
        <w:t xml:space="preserve">, </w:t>
      </w:r>
      <w:r w:rsidR="004368B8">
        <w:rPr>
          <w:rFonts w:ascii="Times New Roman" w:hAnsi="Times New Roman"/>
          <w:i/>
          <w:sz w:val="22"/>
        </w:rPr>
        <w:t>Weber</w:t>
      </w:r>
      <w:r w:rsidR="004368B8">
        <w:rPr>
          <w:rFonts w:ascii="Times New Roman" w:hAnsi="Times New Roman"/>
          <w:sz w:val="22"/>
        </w:rPr>
        <w:t xml:space="preserve"> still is good law in the private employer context.  Note that these tests were devised by the Court in the course of its interpretation of Title VII (i.e., the tests aren’t expressly set forth in the statute).</w:t>
      </w:r>
    </w:p>
    <w:p w:rsidR="004368B8" w:rsidRPr="00354528" w:rsidRDefault="004368B8" w:rsidP="00354528">
      <w:pPr>
        <w:tabs>
          <w:tab w:val="left" w:pos="360"/>
          <w:tab w:val="left" w:pos="720"/>
          <w:tab w:val="left" w:pos="1080"/>
          <w:tab w:val="left" w:pos="1440"/>
          <w:tab w:val="left" w:pos="1800"/>
          <w:tab w:val="left" w:pos="2160"/>
        </w:tabs>
        <w:spacing w:before="60"/>
        <w:ind w:left="1800"/>
        <w:rPr>
          <w:rFonts w:ascii="Times New Roman" w:hAnsi="Times New Roman"/>
          <w:sz w:val="22"/>
        </w:rPr>
      </w:pPr>
      <w:r>
        <w:rPr>
          <w:rFonts w:ascii="Times New Roman" w:hAnsi="Times New Roman"/>
          <w:i/>
          <w:sz w:val="22"/>
        </w:rPr>
        <w:t>Points for Discussion</w:t>
      </w:r>
      <w:r>
        <w:rPr>
          <w:rFonts w:ascii="Times New Roman" w:hAnsi="Times New Roman"/>
          <w:sz w:val="22"/>
        </w:rPr>
        <w:t>: What statutory interpretation technique would Weber have wanted the Court to use?  (Plain meaning).  Did Weber have a plausible argument that he should win the case under such a reading of the statute?  (Yes</w:t>
      </w:r>
      <w:r w:rsidR="00354528">
        <w:rPr>
          <w:rFonts w:ascii="Times New Roman" w:hAnsi="Times New Roman"/>
          <w:sz w:val="22"/>
        </w:rPr>
        <w:t>.</w:t>
      </w:r>
      <w:r>
        <w:rPr>
          <w:rFonts w:ascii="Times New Roman" w:hAnsi="Times New Roman"/>
          <w:sz w:val="22"/>
        </w:rPr>
        <w:t xml:space="preserve">  Justice Brennan’s majority opinion concedes as much.)  Doesn't the Court's decision reach a result </w:t>
      </w:r>
      <w:r w:rsidRPr="001D0E28">
        <w:rPr>
          <w:rFonts w:ascii="Times New Roman" w:hAnsi="Times New Roman"/>
          <w:sz w:val="22"/>
          <w:szCs w:val="22"/>
        </w:rPr>
        <w:t xml:space="preserve">inconsistent with the literal language of Title VII?  (Probably so, but given the similar purposes underlying Title VII and Kaiser’s voluntary affirmative action program--to remedy past instances of race discrimination and to open up employment opportunities that had historically been denied on the basis of race--it would be “ironic indeed” if Title VII became the vehicle for outlawing such voluntary affirmative action plans of a temporary nature.)  </w:t>
      </w:r>
    </w:p>
    <w:p w:rsidR="004368B8" w:rsidRDefault="004368B8">
      <w:pPr>
        <w:tabs>
          <w:tab w:val="left" w:pos="360"/>
          <w:tab w:val="left" w:pos="720"/>
          <w:tab w:val="left" w:pos="1080"/>
          <w:tab w:val="left" w:pos="1440"/>
          <w:tab w:val="left" w:pos="1800"/>
          <w:tab w:val="left" w:pos="2160"/>
        </w:tabs>
        <w:spacing w:before="60"/>
        <w:ind w:left="1800"/>
        <w:rPr>
          <w:rFonts w:ascii="Times New Roman" w:hAnsi="Times New Roman"/>
          <w:sz w:val="22"/>
        </w:rPr>
      </w:pPr>
      <w:r>
        <w:rPr>
          <w:rFonts w:ascii="Times New Roman" w:hAnsi="Times New Roman"/>
          <w:sz w:val="22"/>
        </w:rPr>
        <w:t xml:space="preserve">You might note another factor that helps explain the result in </w:t>
      </w:r>
      <w:r>
        <w:rPr>
          <w:rFonts w:ascii="Times New Roman" w:hAnsi="Times New Roman"/>
          <w:i/>
          <w:sz w:val="22"/>
        </w:rPr>
        <w:t>Weber</w:t>
      </w:r>
      <w:r>
        <w:rPr>
          <w:rFonts w:ascii="Times New Roman" w:hAnsi="Times New Roman"/>
          <w:sz w:val="22"/>
        </w:rPr>
        <w:t>.  The defendants implemented their voluntary plan to head off the OFCCP and forestall a Title VII suit for past discrimination.  Had the Court decided in favor of Weber, the approach employed by the defendants would have been unavailable.  Thus, the decision helped the defendants walk the "tightrope" on which they had placed themselves.</w:t>
      </w:r>
    </w:p>
    <w:p w:rsidR="00527BE8" w:rsidRDefault="004368B8" w:rsidP="003F09E1">
      <w:pPr>
        <w:tabs>
          <w:tab w:val="left" w:pos="360"/>
          <w:tab w:val="left" w:pos="720"/>
          <w:tab w:val="left" w:pos="1080"/>
          <w:tab w:val="left" w:pos="1440"/>
          <w:tab w:val="left" w:pos="1800"/>
          <w:tab w:val="left" w:pos="2160"/>
        </w:tabs>
        <w:spacing w:before="60"/>
        <w:ind w:left="1800"/>
        <w:rPr>
          <w:rFonts w:ascii="Times New Roman" w:hAnsi="Times New Roman"/>
          <w:sz w:val="22"/>
        </w:rPr>
      </w:pPr>
      <w:r>
        <w:rPr>
          <w:rFonts w:ascii="Times New Roman" w:hAnsi="Times New Roman"/>
          <w:sz w:val="22"/>
        </w:rPr>
        <w:t xml:space="preserve">Finally, remind students that the affirmative action issues in </w:t>
      </w:r>
      <w:r>
        <w:rPr>
          <w:rFonts w:ascii="Times New Roman" w:hAnsi="Times New Roman"/>
          <w:i/>
          <w:iCs/>
          <w:sz w:val="22"/>
        </w:rPr>
        <w:t xml:space="preserve">Weber </w:t>
      </w:r>
      <w:r>
        <w:rPr>
          <w:rFonts w:ascii="Times New Roman" w:hAnsi="Times New Roman"/>
          <w:sz w:val="22"/>
        </w:rPr>
        <w:t>involved a private employer and a Title VII claim.  Affirmative action programs imposed by the government in employment, government contracting, or education settings may raise equal protection claims (i.e., constitutional claims) and are subject to rigorous scrutiny.</w:t>
      </w:r>
      <w:r w:rsidR="00EA694E">
        <w:rPr>
          <w:rFonts w:ascii="Times New Roman" w:hAnsi="Times New Roman"/>
          <w:sz w:val="22"/>
        </w:rPr>
        <w:t xml:space="preserve"> </w:t>
      </w:r>
    </w:p>
    <w:p w:rsidR="008A391B" w:rsidRDefault="002A1996" w:rsidP="002A1996">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h.</w:t>
      </w:r>
      <w:r>
        <w:rPr>
          <w:rFonts w:ascii="Times New Roman" w:hAnsi="Times New Roman"/>
          <w:sz w:val="22"/>
        </w:rPr>
        <w:tab/>
      </w:r>
      <w:r w:rsidR="003F09E1">
        <w:rPr>
          <w:rFonts w:ascii="Times New Roman" w:hAnsi="Times New Roman"/>
          <w:sz w:val="22"/>
        </w:rPr>
        <w:t xml:space="preserve">Cyberlaw in Action box (p. 15): Note the content and apparent purposes of § 230 of the Communications Decency Act.  Note its application to defamation cases.  Then focus on the </w:t>
      </w:r>
      <w:r w:rsidR="003F09E1" w:rsidRPr="003F09E1">
        <w:rPr>
          <w:rFonts w:ascii="Times New Roman" w:hAnsi="Times New Roman"/>
          <w:i/>
          <w:sz w:val="22"/>
        </w:rPr>
        <w:t>Craigslist</w:t>
      </w:r>
      <w:r w:rsidR="003F09E1">
        <w:rPr>
          <w:rFonts w:ascii="Times New Roman" w:hAnsi="Times New Roman"/>
          <w:sz w:val="22"/>
        </w:rPr>
        <w:t xml:space="preserve"> decision, in which the Seventh Circuit holds that a “natural reading” of § 230</w:t>
      </w:r>
      <w:r w:rsidR="00A67E64">
        <w:rPr>
          <w:rFonts w:ascii="Times New Roman" w:hAnsi="Times New Roman"/>
          <w:sz w:val="22"/>
        </w:rPr>
        <w:t xml:space="preserve"> protects Craigslist against Fair Housing Act liability for unlawful statements posted by users of the Craigslist forum.  Ask students about the public policy questions that the case suggests.  Then turn to a discussion of the </w:t>
      </w:r>
      <w:r w:rsidR="00A67E64" w:rsidRPr="00A67E64">
        <w:rPr>
          <w:rFonts w:ascii="Times New Roman" w:hAnsi="Times New Roman"/>
          <w:i/>
          <w:sz w:val="22"/>
        </w:rPr>
        <w:t>Fair Housing Council</w:t>
      </w:r>
      <w:r w:rsidR="00A67E64">
        <w:rPr>
          <w:rFonts w:ascii="Times New Roman" w:hAnsi="Times New Roman"/>
          <w:sz w:val="22"/>
        </w:rPr>
        <w:t xml:space="preserve"> case </w:t>
      </w:r>
      <w:r w:rsidR="00FC3D6B">
        <w:rPr>
          <w:rFonts w:ascii="Times New Roman" w:hAnsi="Times New Roman"/>
          <w:sz w:val="22"/>
        </w:rPr>
        <w:t xml:space="preserve">(Problem #10; see below).  Ask the students </w:t>
      </w:r>
      <w:r w:rsidR="008A391B">
        <w:rPr>
          <w:rFonts w:ascii="Times New Roman" w:hAnsi="Times New Roman"/>
          <w:sz w:val="22"/>
        </w:rPr>
        <w:t xml:space="preserve">whether </w:t>
      </w:r>
      <w:r w:rsidR="008A391B" w:rsidRPr="00A67E64">
        <w:rPr>
          <w:rFonts w:ascii="Times New Roman" w:hAnsi="Times New Roman"/>
          <w:i/>
          <w:sz w:val="22"/>
        </w:rPr>
        <w:t>Craigslist</w:t>
      </w:r>
      <w:r w:rsidR="008A391B">
        <w:rPr>
          <w:rFonts w:ascii="Times New Roman" w:hAnsi="Times New Roman"/>
          <w:sz w:val="22"/>
        </w:rPr>
        <w:t xml:space="preserve"> and </w:t>
      </w:r>
      <w:r w:rsidR="008A391B" w:rsidRPr="00A67E64">
        <w:rPr>
          <w:rFonts w:ascii="Times New Roman" w:hAnsi="Times New Roman"/>
          <w:i/>
          <w:sz w:val="22"/>
        </w:rPr>
        <w:t>Fair Housing Council</w:t>
      </w:r>
      <w:r w:rsidR="008A391B">
        <w:rPr>
          <w:rFonts w:ascii="Times New Roman" w:hAnsi="Times New Roman"/>
          <w:sz w:val="22"/>
        </w:rPr>
        <w:t xml:space="preserve"> are inconsistent decisions, or whether they can be harmonized.</w:t>
      </w:r>
      <w:r w:rsidR="00FC3D6B">
        <w:rPr>
          <w:rFonts w:ascii="Times New Roman" w:hAnsi="Times New Roman"/>
          <w:sz w:val="22"/>
        </w:rPr>
        <w:t xml:space="preserve">  </w:t>
      </w:r>
    </w:p>
    <w:p w:rsidR="00442212" w:rsidRDefault="002A1996" w:rsidP="00967790">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i.</w:t>
      </w:r>
      <w:r>
        <w:rPr>
          <w:rFonts w:ascii="Times New Roman" w:hAnsi="Times New Roman"/>
          <w:sz w:val="22"/>
        </w:rPr>
        <w:tab/>
      </w:r>
      <w:r w:rsidR="001660D9">
        <w:rPr>
          <w:rFonts w:ascii="Times New Roman" w:hAnsi="Times New Roman"/>
          <w:i/>
          <w:sz w:val="22"/>
        </w:rPr>
        <w:t>Jones v. City of Costa Mesa</w:t>
      </w:r>
      <w:r w:rsidR="001660D9">
        <w:rPr>
          <w:rFonts w:ascii="Times New Roman" w:hAnsi="Times New Roman"/>
          <w:sz w:val="22"/>
        </w:rPr>
        <w:t xml:space="preserve"> (p.18): The U.S. Court of Appeals for the Ninth Circuit holds that </w:t>
      </w:r>
      <w:r w:rsidR="009A3C80">
        <w:rPr>
          <w:rFonts w:ascii="Times New Roman" w:hAnsi="Times New Roman"/>
          <w:sz w:val="22"/>
        </w:rPr>
        <w:t>plaintiffs who are users of medicinal marijuana, under the supervision of physicians, are not “qualified individual[s] with a disability” as defined in the Americans with Disabilities Act (ADA), because they are engaged in the “illegal use of drugs” as also defined in the ADA.  The case comes down to an interpretation of the ADA’s definition of “illegal use of drugs.”  The cities of Costa Mesa and Lake Forest, California, were attempting to close existing and prohibit new marijuana-dispensing facilities within their boundaries.  The plaintiffs—a class of individuals suffering from serious medical conditions, of which Marla James was the lead and named plaintiff—were engaging in the use of marijuana for medicinal purposes</w:t>
      </w:r>
      <w:r w:rsidR="00CB40FE">
        <w:rPr>
          <w:rFonts w:ascii="Times New Roman" w:hAnsi="Times New Roman"/>
          <w:sz w:val="22"/>
        </w:rPr>
        <w:t>, which is lawful under</w:t>
      </w:r>
      <w:r w:rsidR="009A3C80">
        <w:rPr>
          <w:rFonts w:ascii="Times New Roman" w:hAnsi="Times New Roman"/>
          <w:sz w:val="22"/>
        </w:rPr>
        <w:t xml:space="preserve"> California state law.  Nonetheless, marijuana is a controlled substance under the federal Controlled Substances Act (CSA), and thus, its possession and distribution is a federal crime.  The plaintiffs</w:t>
      </w:r>
      <w:r w:rsidR="00CB40FE">
        <w:rPr>
          <w:rFonts w:ascii="Times New Roman" w:hAnsi="Times New Roman"/>
          <w:sz w:val="22"/>
        </w:rPr>
        <w:t xml:space="preserve"> sued to prohibit the cities from interfering with the dispensaries, arguing that the cities’ efforts violated Title II of the ADA, which prohibits discrimination on the basis of disability in the provision of public services.  The trial court never decided whether the cities’ actions otherwise violated the ADA, because it found that the ADA did not apply to the plaintiffs, who were excluded from protection of the statute because they were engaging in the illegal use of drugs and the cities acted on that basis.  The appeal in the excerpt in the text addresses that definitional question.  The definition of “illegal use of drugs” references the CSA, but excepts from the definition “the use of a drug taken under supervision by a licensed health care professional, or other uses authorized by the [CSA] or other provisions of Federal law.”  The case is provided, in part, to illustrate how the majority opinion and the dissenting opinion each use the same techniques of statutory interpretation and yet arrive at opposite conclusions.</w:t>
      </w:r>
    </w:p>
    <w:p w:rsidR="00CB40FE" w:rsidRDefault="00CB40FE" w:rsidP="00967790">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ab/>
      </w:r>
      <w:r>
        <w:rPr>
          <w:rFonts w:ascii="Times New Roman" w:hAnsi="Times New Roman"/>
          <w:i/>
          <w:sz w:val="22"/>
        </w:rPr>
        <w:t>Points for discussion</w:t>
      </w:r>
      <w:r>
        <w:rPr>
          <w:rFonts w:ascii="Times New Roman" w:hAnsi="Times New Roman"/>
          <w:sz w:val="22"/>
        </w:rPr>
        <w:t xml:space="preserve">:  </w:t>
      </w:r>
      <w:r w:rsidR="008D7E3C">
        <w:rPr>
          <w:rFonts w:ascii="Times New Roman" w:hAnsi="Times New Roman"/>
          <w:sz w:val="22"/>
        </w:rPr>
        <w:t xml:space="preserve">It may be helpful for instructors to begin by parsing the different statutes that are relevant to this case (the ADA and the CSA) and pinpointing the language that is at issue (the ADA’s exception to “illegal use of drugs” for what is otherwise an agreed use of a substance that is unlawful under the CSA).  Depending on class size and dynamics, instructors could split the class into two groups to reconstruct the arguments of the majority and the dissent.  </w:t>
      </w:r>
      <w:r>
        <w:rPr>
          <w:rFonts w:ascii="Times New Roman" w:hAnsi="Times New Roman"/>
          <w:sz w:val="22"/>
        </w:rPr>
        <w:t>Ask the students to identify each of the techniques of statutory interpretation</w:t>
      </w:r>
      <w:r w:rsidR="008D7E3C">
        <w:rPr>
          <w:rFonts w:ascii="Times New Roman" w:hAnsi="Times New Roman"/>
          <w:sz w:val="22"/>
        </w:rPr>
        <w:t xml:space="preserve"> that the majority opinion applies to find that the plaintiffs are not within the exception to the illegal use of drugs. (Plain meaning and legislative history; also arguably general public purpose in the sense that the court argues that Congress would only depart from the clear “war on drugs” policy clearly and expressly, which the exception does not do.)  The majority opinion admits that plain meaning and legislative history are open to debate.  Ask the students to discuss, then, why the majority and dissent come to different conclusions based on those “indeterminate” indications of </w:t>
      </w:r>
      <w:r w:rsidR="00693618">
        <w:rPr>
          <w:rFonts w:ascii="Times New Roman" w:hAnsi="Times New Roman"/>
          <w:sz w:val="22"/>
        </w:rPr>
        <w:t xml:space="preserve">the meaning of the statutory language.  Guide them in a debate over the “better” interpretation. </w:t>
      </w:r>
    </w:p>
    <w:p w:rsidR="00354528" w:rsidRDefault="00693618" w:rsidP="00967790">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i/>
          <w:sz w:val="22"/>
        </w:rPr>
        <w:tab/>
      </w:r>
      <w:r>
        <w:rPr>
          <w:rFonts w:ascii="Times New Roman" w:hAnsi="Times New Roman"/>
          <w:sz w:val="22"/>
        </w:rPr>
        <w:tab/>
        <w:t>Also note the earlier indication that the opinions considering without explicitly referencing the “rule against surplusage” maxim when discussing whether the word “other” in the exception is made redundant by the cities’ preferred interpretation.</w:t>
      </w:r>
    </w:p>
    <w:p w:rsidR="004368B8" w:rsidRDefault="002A1996" w:rsidP="00354528">
      <w:pPr>
        <w:tabs>
          <w:tab w:val="left" w:pos="360"/>
          <w:tab w:val="left" w:pos="720"/>
          <w:tab w:val="left" w:pos="1080"/>
          <w:tab w:val="left" w:pos="1440"/>
          <w:tab w:val="left" w:pos="1800"/>
          <w:tab w:val="left" w:pos="2160"/>
        </w:tabs>
        <w:spacing w:before="60"/>
        <w:ind w:left="1800" w:hanging="360"/>
        <w:rPr>
          <w:rFonts w:ascii="Times New Roman" w:hAnsi="Times New Roman"/>
          <w:sz w:val="22"/>
        </w:rPr>
      </w:pPr>
      <w:r>
        <w:rPr>
          <w:rFonts w:ascii="Times New Roman" w:hAnsi="Times New Roman"/>
          <w:sz w:val="22"/>
        </w:rPr>
        <w:t>j.</w:t>
      </w:r>
      <w:r>
        <w:rPr>
          <w:rFonts w:ascii="Times New Roman" w:hAnsi="Times New Roman"/>
          <w:sz w:val="22"/>
        </w:rPr>
        <w:tab/>
      </w:r>
      <w:r w:rsidR="004368B8">
        <w:rPr>
          <w:rFonts w:ascii="Times New Roman" w:hAnsi="Times New Roman"/>
          <w:sz w:val="22"/>
        </w:rPr>
        <w:t xml:space="preserve">The </w:t>
      </w:r>
      <w:r w:rsidR="00C71CC6" w:rsidRPr="00C71CC6">
        <w:rPr>
          <w:rFonts w:ascii="Times New Roman" w:hAnsi="Times New Roman"/>
          <w:i/>
          <w:sz w:val="22"/>
        </w:rPr>
        <w:t>Olympic Airways</w:t>
      </w:r>
      <w:r w:rsidR="00C71CC6">
        <w:rPr>
          <w:rFonts w:ascii="Times New Roman" w:hAnsi="Times New Roman"/>
          <w:sz w:val="22"/>
        </w:rPr>
        <w:t xml:space="preserve"> case discussed in the </w:t>
      </w:r>
      <w:r w:rsidR="004368B8">
        <w:rPr>
          <w:rFonts w:ascii="Times New Roman" w:hAnsi="Times New Roman"/>
          <w:sz w:val="22"/>
        </w:rPr>
        <w:t>Global B</w:t>
      </w:r>
      <w:r w:rsidR="00354528">
        <w:rPr>
          <w:rFonts w:ascii="Times New Roman" w:hAnsi="Times New Roman"/>
          <w:sz w:val="22"/>
        </w:rPr>
        <w:t>usiness Environment box</w:t>
      </w:r>
      <w:r w:rsidR="00C7079B">
        <w:rPr>
          <w:rFonts w:ascii="Times New Roman" w:hAnsi="Times New Roman"/>
          <w:sz w:val="22"/>
        </w:rPr>
        <w:t xml:space="preserve"> </w:t>
      </w:r>
      <w:r w:rsidR="00354528">
        <w:rPr>
          <w:rFonts w:ascii="Times New Roman" w:hAnsi="Times New Roman"/>
          <w:sz w:val="22"/>
        </w:rPr>
        <w:t>(p. 22)</w:t>
      </w:r>
      <w:r w:rsidR="004368B8">
        <w:rPr>
          <w:rFonts w:ascii="Times New Roman" w:hAnsi="Times New Roman"/>
          <w:sz w:val="22"/>
        </w:rPr>
        <w:t xml:space="preserve"> reveals that the same techniques used to interpret statutes may be used in the interpretation</w:t>
      </w:r>
      <w:r w:rsidR="00354528">
        <w:rPr>
          <w:rFonts w:ascii="Times New Roman" w:hAnsi="Times New Roman"/>
          <w:sz w:val="22"/>
        </w:rPr>
        <w:t xml:space="preserve"> </w:t>
      </w:r>
      <w:r w:rsidR="004368B8">
        <w:rPr>
          <w:rFonts w:ascii="Times New Roman" w:hAnsi="Times New Roman"/>
          <w:sz w:val="22"/>
        </w:rPr>
        <w:t>of treaties.</w:t>
      </w:r>
    </w:p>
    <w:p w:rsidR="00EB38F0" w:rsidRDefault="004368B8">
      <w:pPr>
        <w:tabs>
          <w:tab w:val="left" w:pos="360"/>
          <w:tab w:val="left" w:pos="720"/>
          <w:tab w:val="left" w:pos="1080"/>
          <w:tab w:val="left" w:pos="1440"/>
          <w:tab w:val="left" w:pos="1800"/>
          <w:tab w:val="left" w:pos="2160"/>
        </w:tabs>
        <w:spacing w:before="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967790">
        <w:rPr>
          <w:rFonts w:ascii="Times New Roman" w:hAnsi="Times New Roman"/>
          <w:sz w:val="22"/>
        </w:rPr>
        <w:t>4</w:t>
      </w:r>
      <w:r>
        <w:rPr>
          <w:rFonts w:ascii="Times New Roman" w:hAnsi="Times New Roman"/>
          <w:sz w:val="22"/>
        </w:rPr>
        <w:t>.</w:t>
      </w:r>
      <w:r>
        <w:rPr>
          <w:rFonts w:ascii="Times New Roman" w:hAnsi="Times New Roman"/>
          <w:sz w:val="22"/>
        </w:rPr>
        <w:tab/>
        <w:t>Remind students of the limits on courts, as stated near the end of the chapter.</w:t>
      </w:r>
    </w:p>
    <w:p w:rsidR="004368B8" w:rsidRDefault="00EB38F0" w:rsidP="00967790">
      <w:pPr>
        <w:tabs>
          <w:tab w:val="left" w:pos="360"/>
          <w:tab w:val="left" w:pos="720"/>
          <w:tab w:val="left" w:pos="1080"/>
          <w:tab w:val="left" w:pos="1440"/>
          <w:tab w:val="left" w:pos="1800"/>
          <w:tab w:val="left" w:pos="2160"/>
        </w:tabs>
        <w:spacing w:before="60"/>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967790">
        <w:rPr>
          <w:rFonts w:ascii="Times New Roman" w:hAnsi="Times New Roman"/>
          <w:sz w:val="22"/>
        </w:rPr>
        <w:t>5</w:t>
      </w:r>
      <w:r>
        <w:rPr>
          <w:rFonts w:ascii="Times New Roman" w:hAnsi="Times New Roman"/>
          <w:sz w:val="22"/>
        </w:rPr>
        <w:t>.</w:t>
      </w:r>
      <w:r>
        <w:rPr>
          <w:rFonts w:ascii="Times New Roman" w:hAnsi="Times New Roman"/>
          <w:sz w:val="22"/>
        </w:rPr>
        <w:tab/>
        <w:t xml:space="preserve">Note the Appendix that deals with reading and briefing cases.  A sample brief of </w:t>
      </w:r>
      <w:r w:rsidR="00354528">
        <w:rPr>
          <w:rFonts w:ascii="Times New Roman" w:hAnsi="Times New Roman"/>
          <w:i/>
          <w:sz w:val="22"/>
        </w:rPr>
        <w:t>Price v. High Pointe Oil Company, Inc.</w:t>
      </w:r>
      <w:r>
        <w:rPr>
          <w:rFonts w:ascii="Times New Roman" w:hAnsi="Times New Roman"/>
          <w:sz w:val="22"/>
        </w:rPr>
        <w:t xml:space="preserve"> appears there.</w:t>
      </w:r>
      <w:r w:rsidR="004368B8">
        <w:rPr>
          <w:rFonts w:ascii="Times New Roman" w:hAnsi="Times New Roman"/>
          <w:sz w:val="22"/>
        </w:rPr>
        <w:t xml:space="preserve"> </w:t>
      </w:r>
    </w:p>
    <w:p w:rsidR="00967790" w:rsidRDefault="00967790" w:rsidP="00967790">
      <w:pPr>
        <w:tabs>
          <w:tab w:val="left" w:pos="360"/>
          <w:tab w:val="left" w:pos="720"/>
          <w:tab w:val="left" w:pos="1080"/>
          <w:tab w:val="left" w:pos="1440"/>
          <w:tab w:val="left" w:pos="1800"/>
          <w:tab w:val="left" w:pos="2160"/>
        </w:tabs>
        <w:spacing w:before="60"/>
        <w:ind w:left="1440" w:hanging="1440"/>
        <w:rPr>
          <w:rFonts w:ascii="Times New Roman" w:hAnsi="Times New Roman"/>
          <w:sz w:val="22"/>
        </w:rPr>
      </w:pPr>
    </w:p>
    <w:p w:rsidR="004368B8" w:rsidRDefault="004368B8">
      <w:pPr>
        <w:tabs>
          <w:tab w:val="left" w:pos="360"/>
          <w:tab w:val="left" w:pos="720"/>
          <w:tab w:val="left" w:pos="1080"/>
          <w:tab w:val="left" w:pos="1440"/>
          <w:tab w:val="left" w:pos="1800"/>
          <w:tab w:val="left" w:pos="2160"/>
        </w:tabs>
        <w:spacing w:before="60"/>
        <w:rPr>
          <w:rFonts w:ascii="Times New Roman" w:hAnsi="Times New Roman"/>
          <w:sz w:val="22"/>
        </w:rPr>
      </w:pPr>
      <w:r>
        <w:rPr>
          <w:rFonts w:ascii="Times New Roman" w:hAnsi="Times New Roman"/>
          <w:sz w:val="22"/>
        </w:rPr>
        <w:t xml:space="preserve">IV. </w:t>
      </w:r>
      <w:r>
        <w:rPr>
          <w:rFonts w:ascii="Times New Roman" w:hAnsi="Times New Roman"/>
          <w:sz w:val="22"/>
        </w:rPr>
        <w:tab/>
      </w:r>
      <w:r>
        <w:rPr>
          <w:rFonts w:ascii="Times New Roman" w:hAnsi="Times New Roman"/>
          <w:sz w:val="22"/>
        </w:rPr>
        <w:tab/>
        <w:t>RECOMMENDED REFERENCES:</w:t>
      </w:r>
    </w:p>
    <w:p w:rsidR="004368B8" w:rsidRDefault="004368B8">
      <w:pPr>
        <w:tabs>
          <w:tab w:val="left" w:pos="360"/>
          <w:tab w:val="left" w:pos="72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rPr>
        <w:t>A.</w:t>
      </w:r>
      <w:r>
        <w:rPr>
          <w:rFonts w:ascii="Times New Roman" w:hAnsi="Times New Roman"/>
          <w:sz w:val="22"/>
        </w:rPr>
        <w:tab/>
        <w:t>B. CARDOZO, THE NATURE OF THE JUDICIAL PROCESS (1921).</w:t>
      </w:r>
    </w:p>
    <w:p w:rsidR="004368B8" w:rsidRDefault="004368B8">
      <w:pPr>
        <w:tabs>
          <w:tab w:val="left" w:pos="360"/>
          <w:tab w:val="left" w:pos="72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rPr>
        <w:t>B.</w:t>
      </w:r>
      <w:r>
        <w:rPr>
          <w:rFonts w:ascii="Times New Roman" w:hAnsi="Times New Roman"/>
          <w:sz w:val="22"/>
        </w:rPr>
        <w:tab/>
        <w:t>J. FRANK, LAW AND THE MODERN MIND (1930) (perhaps the best</w:t>
      </w:r>
      <w:r>
        <w:rPr>
          <w:rFonts w:ascii="Times New Roman" w:hAnsi="Times New Roman"/>
          <w:sz w:val="22"/>
        </w:rPr>
        <w:noBreakHyphen/>
        <w:t>known legal realist tract).</w:t>
      </w:r>
    </w:p>
    <w:p w:rsidR="004368B8" w:rsidRDefault="004368B8">
      <w:pPr>
        <w:tabs>
          <w:tab w:val="left" w:pos="360"/>
          <w:tab w:val="left" w:pos="72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rPr>
        <w:t>C.</w:t>
      </w:r>
      <w:r>
        <w:rPr>
          <w:rFonts w:ascii="Times New Roman" w:hAnsi="Times New Roman"/>
          <w:sz w:val="22"/>
        </w:rPr>
        <w:tab/>
        <w:t>W. FRIEDMANN, LEGAL THEORY (5th ed. 1967) (a general treatise on jurisprudence).</w:t>
      </w:r>
    </w:p>
    <w:p w:rsidR="004368B8" w:rsidRDefault="004368B8">
      <w:pPr>
        <w:tabs>
          <w:tab w:val="left" w:pos="360"/>
          <w:tab w:val="left" w:pos="72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rPr>
        <w:t>D.</w:t>
      </w:r>
      <w:r>
        <w:rPr>
          <w:rFonts w:ascii="Times New Roman" w:hAnsi="Times New Roman"/>
          <w:sz w:val="22"/>
        </w:rPr>
        <w:tab/>
        <w:t>W. FRIEDMANN, LAW IN A CHANGING SOCIETY (2d ed. Penguin 1972) (an examination of the interaction between law and social change which focuses on a variety of topical problem areas).</w:t>
      </w:r>
    </w:p>
    <w:p w:rsidR="004368B8" w:rsidRDefault="004368B8">
      <w:pPr>
        <w:tabs>
          <w:tab w:val="left" w:pos="360"/>
          <w:tab w:val="left" w:pos="72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rPr>
        <w:t>E.</w:t>
      </w:r>
      <w:r>
        <w:rPr>
          <w:rFonts w:ascii="Times New Roman" w:hAnsi="Times New Roman"/>
          <w:sz w:val="22"/>
        </w:rPr>
        <w:tab/>
        <w:t>L. FULLER, THE LAW IN QUEST OF ITSELF (1940) (a critique of legal positivism and related jurisprudential views).</w:t>
      </w:r>
    </w:p>
    <w:p w:rsidR="004368B8" w:rsidRDefault="004368B8">
      <w:pPr>
        <w:tabs>
          <w:tab w:val="left" w:pos="360"/>
          <w:tab w:val="left" w:pos="72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rPr>
        <w:t>F.</w:t>
      </w:r>
      <w:r>
        <w:rPr>
          <w:rFonts w:ascii="Times New Roman" w:hAnsi="Times New Roman"/>
          <w:sz w:val="22"/>
        </w:rPr>
        <w:tab/>
        <w:t>E. LEVI, AN INTRODUCTION TO LEGAL REASONING (1949).</w:t>
      </w:r>
    </w:p>
    <w:p w:rsidR="004368B8" w:rsidRDefault="004368B8">
      <w:pPr>
        <w:pStyle w:val="2"/>
        <w:tabs>
          <w:tab w:val="left" w:pos="1440"/>
          <w:tab w:val="left" w:pos="1800"/>
          <w:tab w:val="left" w:pos="2160"/>
        </w:tabs>
      </w:pPr>
      <w:r>
        <w:t>G.</w:t>
      </w:r>
      <w:r>
        <w:tab/>
        <w:t>D. LLOYD, THE IDEA OF LAW (Penguin 1970) (a general discussion of jurisprudence from what seems to be a positivist viewpoint).</w:t>
      </w:r>
    </w:p>
    <w:p w:rsidR="004368B8" w:rsidRDefault="004368B8">
      <w:pPr>
        <w:numPr>
          <w:ilvl w:val="0"/>
          <w:numId w:val="5"/>
        </w:numPr>
        <w:tabs>
          <w:tab w:val="left" w:pos="360"/>
          <w:tab w:val="left" w:pos="720"/>
          <w:tab w:val="left" w:pos="1440"/>
          <w:tab w:val="left" w:pos="1800"/>
          <w:tab w:val="left" w:pos="2160"/>
        </w:tabs>
        <w:spacing w:before="60"/>
        <w:rPr>
          <w:rFonts w:ascii="Times New Roman" w:hAnsi="Times New Roman"/>
          <w:sz w:val="22"/>
        </w:rPr>
      </w:pPr>
      <w:r>
        <w:rPr>
          <w:rFonts w:ascii="Times New Roman" w:hAnsi="Times New Roman"/>
          <w:sz w:val="22"/>
        </w:rPr>
        <w:t xml:space="preserve">Fuller, </w:t>
      </w:r>
      <w:r>
        <w:rPr>
          <w:rFonts w:ascii="Times New Roman" w:hAnsi="Times New Roman"/>
          <w:i/>
          <w:sz w:val="22"/>
        </w:rPr>
        <w:t>The Case of the Speluncean Explorers</w:t>
      </w:r>
      <w:r>
        <w:rPr>
          <w:rFonts w:ascii="Times New Roman" w:hAnsi="Times New Roman"/>
          <w:sz w:val="22"/>
        </w:rPr>
        <w:t>, 62 HARV. L. REV. 616 (1949) (a classic hypothetical case that provides an excellent vehicle for discussing statutory interpretation and schools of jurisprudence).</w:t>
      </w:r>
    </w:p>
    <w:p w:rsidR="004368B8" w:rsidRPr="00693618" w:rsidRDefault="004368B8" w:rsidP="001D0E28">
      <w:pPr>
        <w:numPr>
          <w:ilvl w:val="0"/>
          <w:numId w:val="5"/>
        </w:numPr>
        <w:tabs>
          <w:tab w:val="left" w:pos="360"/>
          <w:tab w:val="left" w:pos="720"/>
          <w:tab w:val="left" w:pos="1440"/>
          <w:tab w:val="left" w:pos="1800"/>
          <w:tab w:val="left" w:pos="2160"/>
        </w:tabs>
        <w:spacing w:before="60"/>
        <w:rPr>
          <w:rFonts w:ascii="Times New Roman" w:hAnsi="Times New Roman"/>
          <w:sz w:val="22"/>
        </w:rPr>
      </w:pPr>
      <w:r>
        <w:rPr>
          <w:rFonts w:ascii="Times New Roman" w:hAnsi="Times New Roman"/>
          <w:sz w:val="22"/>
        </w:rPr>
        <w:t>P. SUBER, THE CASE OF THE SPELUNCEAN EXPLORERS:  NINE NEW OPINIONS (Routledge 1998) (an outstanding work that builds upon Fuller’s classic case by adding new hypothetical judicial opinions that illustrate other schools of legal thought and modern jurisprudential themes).</w:t>
      </w:r>
    </w:p>
    <w:p w:rsidR="004368B8" w:rsidRDefault="004368B8" w:rsidP="009D06DD">
      <w:pPr>
        <w:numPr>
          <w:ilvl w:val="0"/>
          <w:numId w:val="5"/>
        </w:numPr>
        <w:tabs>
          <w:tab w:val="left" w:pos="360"/>
          <w:tab w:val="left" w:pos="720"/>
          <w:tab w:val="left" w:pos="1440"/>
          <w:tab w:val="left" w:pos="1800"/>
          <w:tab w:val="left" w:pos="2160"/>
        </w:tabs>
        <w:spacing w:before="60"/>
        <w:rPr>
          <w:rFonts w:ascii="Times New Roman" w:hAnsi="Times New Roman"/>
          <w:sz w:val="22"/>
        </w:rPr>
      </w:pPr>
      <w:r>
        <w:rPr>
          <w:rFonts w:ascii="Times New Roman" w:hAnsi="Times New Roman"/>
          <w:sz w:val="22"/>
        </w:rPr>
        <w:t>B. WEINREB, NATURAL LAW AND JUSTICE (1987).</w:t>
      </w:r>
    </w:p>
    <w:p w:rsidR="009D06DD" w:rsidRDefault="00B3436C" w:rsidP="009D06DD">
      <w:pPr>
        <w:numPr>
          <w:ilvl w:val="0"/>
          <w:numId w:val="5"/>
        </w:numPr>
        <w:tabs>
          <w:tab w:val="left" w:pos="360"/>
          <w:tab w:val="left" w:pos="720"/>
          <w:tab w:val="left" w:pos="1440"/>
          <w:tab w:val="left" w:pos="1800"/>
          <w:tab w:val="left" w:pos="2160"/>
        </w:tabs>
        <w:spacing w:before="60"/>
        <w:rPr>
          <w:rFonts w:ascii="Times New Roman" w:hAnsi="Times New Roman"/>
          <w:sz w:val="22"/>
        </w:rPr>
      </w:pPr>
      <w:r>
        <w:rPr>
          <w:rFonts w:ascii="Times New Roman" w:hAnsi="Times New Roman"/>
          <w:smallCaps/>
          <w:sz w:val="22"/>
        </w:rPr>
        <w:t>K. Llewellyn, The</w:t>
      </w:r>
      <w:r w:rsidRPr="00B3436C">
        <w:rPr>
          <w:rFonts w:ascii="Times New Roman" w:hAnsi="Times New Roman"/>
          <w:smallCaps/>
          <w:sz w:val="22"/>
        </w:rPr>
        <w:t xml:space="preserve"> BRAMBLE Bush</w:t>
      </w:r>
      <w:r>
        <w:rPr>
          <w:rFonts w:ascii="Times New Roman" w:hAnsi="Times New Roman"/>
          <w:sz w:val="22"/>
        </w:rPr>
        <w:t xml:space="preserve"> (1930 edition and later editions) (Karl Llewellyn’s classic work dealing with many legal reasoning issues).</w:t>
      </w:r>
    </w:p>
    <w:p w:rsidR="004368B8" w:rsidRDefault="004368B8">
      <w:pPr>
        <w:tabs>
          <w:tab w:val="left" w:pos="360"/>
          <w:tab w:val="left" w:pos="720"/>
          <w:tab w:val="left" w:pos="1080"/>
          <w:tab w:val="left" w:pos="1440"/>
          <w:tab w:val="left" w:pos="1800"/>
          <w:tab w:val="left" w:pos="2160"/>
        </w:tabs>
        <w:spacing w:before="60"/>
        <w:rPr>
          <w:rFonts w:ascii="Times New Roman" w:hAnsi="Times New Roman"/>
          <w:sz w:val="22"/>
        </w:rPr>
      </w:pPr>
    </w:p>
    <w:p w:rsidR="004368B8" w:rsidRDefault="004368B8">
      <w:pPr>
        <w:tabs>
          <w:tab w:val="left" w:pos="360"/>
          <w:tab w:val="left" w:pos="720"/>
          <w:tab w:val="left" w:pos="1080"/>
          <w:tab w:val="left" w:pos="1440"/>
          <w:tab w:val="left" w:pos="1800"/>
          <w:tab w:val="left" w:pos="2160"/>
        </w:tabs>
        <w:spacing w:before="60"/>
        <w:rPr>
          <w:rFonts w:ascii="Times New Roman" w:hAnsi="Times New Roman"/>
          <w:sz w:val="22"/>
        </w:rPr>
      </w:pPr>
      <w:r>
        <w:rPr>
          <w:rFonts w:ascii="Times New Roman" w:hAnsi="Times New Roman"/>
          <w:sz w:val="22"/>
        </w:rPr>
        <w:t>V.  ANSWERS TO PROBLEMS AND PROBLEM CASES:</w:t>
      </w:r>
    </w:p>
    <w:p w:rsidR="00B63903" w:rsidRPr="00423AB9" w:rsidRDefault="00B63903" w:rsidP="00423AB9">
      <w:pPr>
        <w:tabs>
          <w:tab w:val="left" w:pos="360"/>
          <w:tab w:val="left" w:pos="720"/>
          <w:tab w:val="left" w:pos="1080"/>
          <w:tab w:val="left" w:pos="1440"/>
          <w:tab w:val="left" w:pos="2160"/>
        </w:tabs>
        <w:spacing w:before="60"/>
        <w:ind w:left="1080" w:hanging="1080"/>
        <w:rPr>
          <w:rFonts w:ascii="Times New Roman" w:hAnsi="Times New Roman"/>
          <w:sz w:val="22"/>
        </w:rPr>
      </w:pPr>
      <w:r>
        <w:rPr>
          <w:rFonts w:ascii="Times New Roman" w:hAnsi="Times New Roman"/>
          <w:sz w:val="22"/>
        </w:rPr>
        <w:tab/>
      </w:r>
      <w:r>
        <w:rPr>
          <w:rFonts w:ascii="Times New Roman" w:hAnsi="Times New Roman"/>
          <w:sz w:val="22"/>
        </w:rPr>
        <w:tab/>
      </w:r>
      <w:r w:rsidR="004368B8">
        <w:rPr>
          <w:rFonts w:ascii="Times New Roman" w:hAnsi="Times New Roman"/>
          <w:sz w:val="22"/>
        </w:rPr>
        <w:t>1.</w:t>
      </w:r>
      <w:r w:rsidR="004368B8">
        <w:rPr>
          <w:rFonts w:ascii="Times New Roman" w:hAnsi="Times New Roman"/>
          <w:sz w:val="22"/>
        </w:rPr>
        <w:tab/>
      </w:r>
      <w:r>
        <w:rPr>
          <w:rFonts w:ascii="Times New Roman" w:hAnsi="Times New Roman"/>
          <w:sz w:val="22"/>
        </w:rPr>
        <w:t xml:space="preserve">No.  On appeal, the Supreme Court of Minnesota held that the state's dog bite statute applies </w:t>
      </w:r>
      <w:r w:rsidR="00423AB9">
        <w:rPr>
          <w:rFonts w:ascii="Times New Roman" w:hAnsi="Times New Roman"/>
          <w:sz w:val="22"/>
        </w:rPr>
        <w:t xml:space="preserve">to municipal owners of dogs.  </w:t>
      </w:r>
      <w:r>
        <w:rPr>
          <w:rFonts w:ascii="Times New Roman" w:hAnsi="Times New Roman"/>
          <w:sz w:val="22"/>
        </w:rPr>
        <w:t xml:space="preserve">In deciding that the word "owner" in the dog bite statute could apply to municipal owners of dogs and not merely to private owners, the court applied the plain meaning technique. The statute </w:t>
      </w:r>
      <w:r w:rsidR="00423AB9">
        <w:rPr>
          <w:rFonts w:ascii="Times New Roman" w:hAnsi="Times New Roman"/>
          <w:sz w:val="22"/>
        </w:rPr>
        <w:t xml:space="preserve">defined </w:t>
      </w:r>
      <w:r>
        <w:rPr>
          <w:rFonts w:ascii="Times New Roman" w:hAnsi="Times New Roman"/>
          <w:sz w:val="22"/>
        </w:rPr>
        <w:t>"owner</w:t>
      </w:r>
      <w:r w:rsidR="00423AB9">
        <w:rPr>
          <w:rFonts w:ascii="Times New Roman" w:hAnsi="Times New Roman"/>
          <w:sz w:val="22"/>
        </w:rPr>
        <w:t xml:space="preserve">" as “any person harboring or keeping a dog.”  Given how the word “person” is often interpreted in the law (so as to include not only human beings but also corporations and governmental entities) the definition </w:t>
      </w:r>
      <w:r>
        <w:rPr>
          <w:rFonts w:ascii="Times New Roman" w:hAnsi="Times New Roman"/>
          <w:sz w:val="22"/>
        </w:rPr>
        <w:t>would naturally and logically include municipal ow</w:t>
      </w:r>
      <w:r w:rsidR="00423AB9">
        <w:rPr>
          <w:rFonts w:ascii="Times New Roman" w:hAnsi="Times New Roman"/>
          <w:sz w:val="22"/>
        </w:rPr>
        <w:t>ners as well as private owners.  If the legislature had meant for the statute to apply only to private owners and not to governmental owners, it would have been easy for the legislature to have said so.</w:t>
      </w:r>
      <w:r>
        <w:rPr>
          <w:rFonts w:ascii="Times New Roman" w:hAnsi="Times New Roman"/>
          <w:sz w:val="22"/>
        </w:rPr>
        <w:t xml:space="preserve"> </w:t>
      </w:r>
      <w:r w:rsidR="00423AB9">
        <w:rPr>
          <w:rFonts w:ascii="Times New Roman" w:hAnsi="Times New Roman"/>
          <w:sz w:val="22"/>
        </w:rPr>
        <w:t>Having concluded that the dog bite statute applies to municipal owners of dogs, the court went on to hold that a separate statute authorizing the use of reasonable force by police officers may sometimes apply so as to protect the municipality against liability that would otherwise arise out of certain dog bite incidents.</w:t>
      </w:r>
      <w:r>
        <w:rPr>
          <w:rFonts w:ascii="Times New Roman" w:hAnsi="Times New Roman"/>
          <w:sz w:val="22"/>
        </w:rPr>
        <w:t xml:space="preserve"> </w:t>
      </w:r>
      <w:r>
        <w:rPr>
          <w:rFonts w:ascii="Times New Roman" w:hAnsi="Times New Roman"/>
          <w:i/>
          <w:iCs/>
          <w:sz w:val="22"/>
        </w:rPr>
        <w:t xml:space="preserve">Hyatt v. </w:t>
      </w:r>
      <w:smartTag w:uri="urn:schemas-microsoft-com:office:smarttags" w:element="City">
        <w:r>
          <w:rPr>
            <w:rFonts w:ascii="Times New Roman" w:hAnsi="Times New Roman"/>
            <w:i/>
            <w:iCs/>
            <w:sz w:val="22"/>
          </w:rPr>
          <w:t>Anoka</w:t>
        </w:r>
      </w:smartTag>
      <w:r>
        <w:rPr>
          <w:rFonts w:ascii="Times New Roman" w:hAnsi="Times New Roman"/>
          <w:i/>
          <w:iCs/>
          <w:sz w:val="22"/>
        </w:rPr>
        <w:t xml:space="preserve"> Police Dept.</w:t>
      </w:r>
      <w:r w:rsidR="00423AB9">
        <w:rPr>
          <w:rFonts w:ascii="Times New Roman" w:hAnsi="Times New Roman"/>
          <w:iCs/>
          <w:sz w:val="22"/>
        </w:rPr>
        <w:t>, 691 N.W.2d 824 (</w:t>
      </w:r>
      <w:smartTag w:uri="urn:schemas-microsoft-com:office:smarttags" w:element="State">
        <w:smartTag w:uri="urn:schemas-microsoft-com:office:smarttags" w:element="place">
          <w:r w:rsidR="00423AB9">
            <w:rPr>
              <w:rFonts w:ascii="Times New Roman" w:hAnsi="Times New Roman"/>
              <w:iCs/>
              <w:sz w:val="22"/>
            </w:rPr>
            <w:t>Minn.</w:t>
          </w:r>
        </w:smartTag>
      </w:smartTag>
      <w:r w:rsidR="00423AB9">
        <w:rPr>
          <w:rFonts w:ascii="Times New Roman" w:hAnsi="Times New Roman"/>
          <w:iCs/>
          <w:sz w:val="22"/>
        </w:rPr>
        <w:t xml:space="preserve"> Sup. </w:t>
      </w:r>
      <w:smartTag w:uri="urn:schemas-microsoft-com:office:smarttags" w:element="place">
        <w:smartTag w:uri="urn:schemas-microsoft-com:office:smarttags" w:element="State">
          <w:r w:rsidR="00423AB9">
            <w:rPr>
              <w:rFonts w:ascii="Times New Roman" w:hAnsi="Times New Roman"/>
              <w:iCs/>
              <w:sz w:val="22"/>
            </w:rPr>
            <w:t>Ct.</w:t>
          </w:r>
        </w:smartTag>
      </w:smartTag>
      <w:r w:rsidR="00423AB9">
        <w:rPr>
          <w:rFonts w:ascii="Times New Roman" w:hAnsi="Times New Roman"/>
          <w:iCs/>
          <w:sz w:val="22"/>
        </w:rPr>
        <w:t xml:space="preserve"> 2005).</w:t>
      </w:r>
    </w:p>
    <w:p w:rsidR="004368B8" w:rsidRDefault="004368B8">
      <w:pPr>
        <w:tabs>
          <w:tab w:val="left" w:pos="360"/>
          <w:tab w:val="left" w:pos="72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rPr>
        <w:t>2.</w:t>
      </w:r>
      <w:r>
        <w:rPr>
          <w:rFonts w:ascii="Times New Roman" w:hAnsi="Times New Roman"/>
          <w:sz w:val="22"/>
        </w:rPr>
        <w:tab/>
      </w:r>
      <w:r w:rsidR="00D55D19">
        <w:rPr>
          <w:rFonts w:ascii="Times New Roman" w:hAnsi="Times New Roman"/>
          <w:sz w:val="22"/>
        </w:rPr>
        <w:t xml:space="preserve">No.  For an explanation of the Court's rationale, see this outline's earlier discussion of </w:t>
      </w:r>
      <w:r w:rsidR="00D55D19" w:rsidRPr="00D55D19">
        <w:rPr>
          <w:rFonts w:ascii="Times New Roman" w:hAnsi="Times New Roman"/>
          <w:i/>
          <w:sz w:val="22"/>
        </w:rPr>
        <w:t>United Steelworkers v. Webe</w:t>
      </w:r>
      <w:r w:rsidR="00D55D19">
        <w:rPr>
          <w:rFonts w:ascii="Times New Roman" w:hAnsi="Times New Roman"/>
          <w:sz w:val="22"/>
        </w:rPr>
        <w:t xml:space="preserve">r, 443 U.S. 193 (U.S. Sup. </w:t>
      </w:r>
      <w:smartTag w:uri="urn:schemas-microsoft-com:office:smarttags" w:element="place">
        <w:smartTag w:uri="urn:schemas-microsoft-com:office:smarttags" w:element="State">
          <w:r w:rsidR="00D55D19">
            <w:rPr>
              <w:rFonts w:ascii="Times New Roman" w:hAnsi="Times New Roman"/>
              <w:sz w:val="22"/>
            </w:rPr>
            <w:t>Ct.</w:t>
          </w:r>
        </w:smartTag>
      </w:smartTag>
      <w:r w:rsidR="00D55D19">
        <w:rPr>
          <w:rFonts w:ascii="Times New Roman" w:hAnsi="Times New Roman"/>
          <w:sz w:val="22"/>
        </w:rPr>
        <w:t xml:space="preserve"> 1979).</w:t>
      </w:r>
    </w:p>
    <w:p w:rsidR="001642B8" w:rsidRDefault="001642B8" w:rsidP="001642B8">
      <w:pPr>
        <w:tabs>
          <w:tab w:val="left" w:pos="360"/>
          <w:tab w:val="left" w:pos="720"/>
          <w:tab w:val="left" w:pos="1080"/>
          <w:tab w:val="left" w:pos="1440"/>
          <w:tab w:val="left" w:pos="2160"/>
        </w:tabs>
        <w:spacing w:before="60"/>
        <w:ind w:left="1080" w:hanging="1080"/>
        <w:rPr>
          <w:rFonts w:ascii="Times New Roman" w:hAnsi="Times New Roman"/>
          <w:sz w:val="22"/>
        </w:rPr>
      </w:pPr>
      <w:r>
        <w:rPr>
          <w:rFonts w:ascii="Times New Roman" w:hAnsi="Times New Roman"/>
          <w:sz w:val="22"/>
        </w:rPr>
        <w:tab/>
      </w:r>
      <w:r>
        <w:rPr>
          <w:rFonts w:ascii="Times New Roman" w:hAnsi="Times New Roman"/>
          <w:sz w:val="22"/>
        </w:rPr>
        <w:tab/>
      </w:r>
      <w:r w:rsidR="004368B8">
        <w:rPr>
          <w:rFonts w:ascii="Times New Roman" w:hAnsi="Times New Roman"/>
          <w:sz w:val="22"/>
        </w:rPr>
        <w:t>3.</w:t>
      </w:r>
      <w:r w:rsidR="004368B8">
        <w:rPr>
          <w:rFonts w:ascii="Times New Roman" w:hAnsi="Times New Roman"/>
          <w:sz w:val="22"/>
        </w:rPr>
        <w:tab/>
      </w:r>
      <w:r>
        <w:rPr>
          <w:rFonts w:ascii="Times New Roman" w:hAnsi="Times New Roman"/>
          <w:sz w:val="22"/>
        </w:rPr>
        <w:t xml:space="preserve">No.  In upholding the district court’s issuance of an injunction against Lynch and Moscinski, the U.S Court of Appeals for the Second Circuit ruled that natural law did not constitute a valid defense. </w:t>
      </w:r>
      <w:smartTag w:uri="urn:schemas-microsoft-com:office:smarttags" w:element="country-region">
        <w:r>
          <w:rPr>
            <w:rFonts w:ascii="Times New Roman" w:hAnsi="Times New Roman"/>
            <w:i/>
            <w:iCs/>
            <w:sz w:val="22"/>
          </w:rPr>
          <w:t>United States</w:t>
        </w:r>
      </w:smartTag>
      <w:r>
        <w:rPr>
          <w:rFonts w:ascii="Times New Roman" w:hAnsi="Times New Roman"/>
          <w:i/>
          <w:iCs/>
          <w:sz w:val="22"/>
        </w:rPr>
        <w:t xml:space="preserve"> v. Lynch</w:t>
      </w:r>
      <w:r>
        <w:rPr>
          <w:rFonts w:ascii="Times New Roman" w:hAnsi="Times New Roman"/>
          <w:sz w:val="22"/>
        </w:rPr>
        <w:t xml:space="preserve">, 1996 </w:t>
      </w:r>
      <w:smartTag w:uri="urn:schemas-microsoft-com:office:smarttags" w:element="country-region">
        <w:smartTag w:uri="urn:schemas-microsoft-com:office:smarttags" w:element="place">
          <w:r>
            <w:rPr>
              <w:rFonts w:ascii="Times New Roman" w:hAnsi="Times New Roman"/>
              <w:sz w:val="22"/>
            </w:rPr>
            <w:t>U.S.</w:t>
          </w:r>
        </w:smartTag>
      </w:smartTag>
      <w:r>
        <w:rPr>
          <w:rFonts w:ascii="Times New Roman" w:hAnsi="Times New Roman"/>
          <w:sz w:val="22"/>
        </w:rPr>
        <w:t xml:space="preserve"> App. LEXIS 32729 (2d Cir. 1996).</w:t>
      </w:r>
    </w:p>
    <w:p w:rsidR="003C72CA" w:rsidRPr="00693618" w:rsidRDefault="00D55D19">
      <w:pPr>
        <w:tabs>
          <w:tab w:val="left" w:pos="360"/>
          <w:tab w:val="left" w:pos="72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rPr>
        <w:t>4.</w:t>
      </w:r>
      <w:r>
        <w:rPr>
          <w:rFonts w:ascii="Times New Roman" w:hAnsi="Times New Roman"/>
          <w:sz w:val="22"/>
        </w:rPr>
        <w:tab/>
      </w:r>
      <w:r w:rsidR="00693618">
        <w:rPr>
          <w:rFonts w:ascii="Times New Roman" w:hAnsi="Times New Roman"/>
          <w:sz w:val="22"/>
        </w:rPr>
        <w:t xml:space="preserve">The court should determine whether the common-law “discovery rule” for tolling of the </w:t>
      </w:r>
      <w:r w:rsidR="00354528">
        <w:rPr>
          <w:rFonts w:ascii="Times New Roman" w:hAnsi="Times New Roman"/>
          <w:sz w:val="22"/>
        </w:rPr>
        <w:t>statute</w:t>
      </w:r>
      <w:r w:rsidR="00693618">
        <w:rPr>
          <w:rFonts w:ascii="Times New Roman" w:hAnsi="Times New Roman"/>
          <w:sz w:val="22"/>
        </w:rPr>
        <w:t xml:space="preserve"> of limitations applies when the relevant statute of limitations does not appear to allow room for the discovery rule to apply, except in statutorily specified situations not applicable to the case at hand.  The Supreme Court of Michigan held that it does not.  Instead it applied the rule that when an applicable statute and a common law rule conflict, the statute controls.  </w:t>
      </w:r>
      <w:r w:rsidR="00693618">
        <w:rPr>
          <w:rFonts w:ascii="Times New Roman" w:hAnsi="Times New Roman"/>
          <w:i/>
          <w:sz w:val="22"/>
        </w:rPr>
        <w:t>Trentadue v. Gorton</w:t>
      </w:r>
      <w:r w:rsidR="00693618">
        <w:rPr>
          <w:rFonts w:ascii="Times New Roman" w:hAnsi="Times New Roman"/>
          <w:sz w:val="22"/>
        </w:rPr>
        <w:t>, 738 N.W.2d 664 (Mich. 2007).</w:t>
      </w:r>
    </w:p>
    <w:p w:rsidR="001D0E28" w:rsidRDefault="00B633AB" w:rsidP="00B633AB">
      <w:pPr>
        <w:tabs>
          <w:tab w:val="left" w:pos="360"/>
          <w:tab w:val="left" w:pos="72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rPr>
        <w:t>5.</w:t>
      </w:r>
      <w:r>
        <w:rPr>
          <w:rFonts w:ascii="Times New Roman" w:hAnsi="Times New Roman"/>
          <w:sz w:val="22"/>
        </w:rPr>
        <w:tab/>
      </w:r>
      <w:r w:rsidR="001D28DF">
        <w:rPr>
          <w:rFonts w:ascii="Times New Roman" w:hAnsi="Times New Roman"/>
          <w:sz w:val="22"/>
        </w:rPr>
        <w:t xml:space="preserve">No. Relying on the legislative purpose and legislative history techniques of statutory interpretation, the Supreme Court focused on what the ADEA was designed to do (deal with the problem of employers favoring younger workers over older workers) and how we know that (legislative studies, legislative hearings, introductory provisions of ADEA, and society's focus on "youth culture").  The Court was disinclined to apply the ADEA language in mechanical fashion, because doing so would contravene what the Court regarded as a clear statutory focus on addressing the problem of discrimination against older employees in favor of younger employees.  </w:t>
      </w:r>
      <w:r w:rsidR="001D28DF" w:rsidRPr="001D28DF">
        <w:rPr>
          <w:rFonts w:ascii="Times New Roman" w:hAnsi="Times New Roman"/>
          <w:i/>
          <w:sz w:val="22"/>
        </w:rPr>
        <w:t>General Dynamics Land Systems, Inc. v. Cline</w:t>
      </w:r>
      <w:r w:rsidR="001D28DF">
        <w:rPr>
          <w:rFonts w:ascii="Times New Roman" w:hAnsi="Times New Roman"/>
          <w:sz w:val="22"/>
        </w:rPr>
        <w:t xml:space="preserve">, 540 </w:t>
      </w:r>
      <w:smartTag w:uri="urn:schemas-microsoft-com:office:smarttags" w:element="country-region">
        <w:r w:rsidR="001D28DF">
          <w:rPr>
            <w:rFonts w:ascii="Times New Roman" w:hAnsi="Times New Roman"/>
            <w:sz w:val="22"/>
          </w:rPr>
          <w:t>U.S.</w:t>
        </w:r>
      </w:smartTag>
      <w:r w:rsidR="001D28DF">
        <w:rPr>
          <w:rFonts w:ascii="Times New Roman" w:hAnsi="Times New Roman"/>
          <w:sz w:val="22"/>
        </w:rPr>
        <w:t xml:space="preserve"> 581 (</w:t>
      </w:r>
      <w:smartTag w:uri="urn:schemas-microsoft-com:office:smarttags" w:element="country-region">
        <w:smartTag w:uri="urn:schemas-microsoft-com:office:smarttags" w:element="place">
          <w:r w:rsidR="001D28DF">
            <w:rPr>
              <w:rFonts w:ascii="Times New Roman" w:hAnsi="Times New Roman"/>
              <w:sz w:val="22"/>
            </w:rPr>
            <w:t>U.S.</w:t>
          </w:r>
        </w:smartTag>
      </w:smartTag>
      <w:r w:rsidR="001D28DF">
        <w:rPr>
          <w:rFonts w:ascii="Times New Roman" w:hAnsi="Times New Roman"/>
          <w:sz w:val="22"/>
        </w:rPr>
        <w:t xml:space="preserve"> Sup. </w:t>
      </w:r>
      <w:smartTag w:uri="urn:schemas-microsoft-com:office:smarttags" w:element="State">
        <w:smartTag w:uri="urn:schemas-microsoft-com:office:smarttags" w:element="place">
          <w:r w:rsidR="001D28DF">
            <w:rPr>
              <w:rFonts w:ascii="Times New Roman" w:hAnsi="Times New Roman"/>
              <w:sz w:val="22"/>
            </w:rPr>
            <w:t>Ct.</w:t>
          </w:r>
        </w:smartTag>
      </w:smartTag>
      <w:r w:rsidR="001D28DF">
        <w:rPr>
          <w:rFonts w:ascii="Times New Roman" w:hAnsi="Times New Roman"/>
          <w:sz w:val="22"/>
        </w:rPr>
        <w:t xml:space="preserve"> 2004).</w:t>
      </w:r>
    </w:p>
    <w:p w:rsidR="001642B8" w:rsidRDefault="001642B8" w:rsidP="001D0E28"/>
    <w:p w:rsidR="001642B8" w:rsidRDefault="004368B8" w:rsidP="002D24C6">
      <w:pPr>
        <w:tabs>
          <w:tab w:val="left" w:pos="36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rPr>
        <w:t>6.</w:t>
      </w:r>
      <w:r>
        <w:rPr>
          <w:rFonts w:ascii="Times New Roman" w:hAnsi="Times New Roman"/>
          <w:sz w:val="22"/>
        </w:rPr>
        <w:tab/>
      </w:r>
      <w:r w:rsidR="0047499F">
        <w:rPr>
          <w:rFonts w:ascii="Times New Roman" w:hAnsi="Times New Roman"/>
          <w:sz w:val="22"/>
        </w:rPr>
        <w:t xml:space="preserve">The court should apply the techniques of statutory interpretation to determine the meaning of “personal privacy.”  In this particular case, the U.S. Supreme Court held that the “personal privacy” exception in the Freedom of Information Act (FOIA) does not furnish corporations protection against disclosure of requested documents in government files based on the plain meaning of the language, looking at it in context.  The Court noted, “[w]hen it comes to the word “personal,” there is little support for the notion that it denotes corporations, even in the legal context.”  Moreover, the Court referenced the maxim that “when interpreting a statute we construe language in light of the terms surrounding it.”  Referencing the combination of the words “personal” and “privacy” can mean something than their individual meanings put together (as with the term “golden boy” meaning something other than a boy who is gold colored),  the Court explained that “personal privacy” “suggests a type of privacy evocative of human concerns.”  </w:t>
      </w:r>
      <w:r w:rsidR="0047499F">
        <w:rPr>
          <w:rFonts w:ascii="Times New Roman" w:hAnsi="Times New Roman"/>
          <w:i/>
          <w:sz w:val="22"/>
        </w:rPr>
        <w:t>Federal Communications Commission v. AT&amp;T, Inc.</w:t>
      </w:r>
      <w:r w:rsidR="0047499F">
        <w:rPr>
          <w:rFonts w:ascii="Times New Roman" w:hAnsi="Times New Roman"/>
          <w:sz w:val="22"/>
        </w:rPr>
        <w:t>, 131 S. Ct. 1177 (2011).</w:t>
      </w:r>
    </w:p>
    <w:p w:rsidR="004368B8" w:rsidRDefault="004368B8">
      <w:pPr>
        <w:tabs>
          <w:tab w:val="left" w:pos="360"/>
          <w:tab w:val="left" w:pos="72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rPr>
        <w:t>7.</w:t>
      </w:r>
      <w:r>
        <w:rPr>
          <w:rFonts w:ascii="Times New Roman" w:hAnsi="Times New Roman"/>
          <w:sz w:val="22"/>
        </w:rPr>
        <w:tab/>
        <w:t>An extreme legal positivist would say that the laws are valid positive law and they should be enforced and obeyed.  Natural law thinkers, on the other hand, would generally say that unjust laws are not law and should not be enforced and obeyed.  Because Sunday closing laws restrict economic freedom, a natural law person of strong laissez-faire views would regard them as unjust, and would say that they should not be enforced and obeyed.  A natural law thinker who is a Christian traditionalist would probably take the opposite view, because these laws respect the Sabbath.</w:t>
      </w:r>
    </w:p>
    <w:p w:rsidR="004368B8" w:rsidRDefault="004368B8">
      <w:pPr>
        <w:tabs>
          <w:tab w:val="left" w:pos="360"/>
          <w:tab w:val="left" w:pos="72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rPr>
        <w:tab/>
        <w:t>As usual, legal realists would be quick to note how the non-enforcement of these laws vindicates their distinction between the law in action and the law in the books.  Adherents to sociological jurisprudence could identify the social factors that originally led to the enactment of Sunday closing laws--e.g., religious sentiment and the political power of religious groups. They could also note that the current failure to enforce Sunday closing laws reflects the growing secularization of American life, the prevalence of society’s consumer orientation, and the political influence of business.  They could further suggest that a balancing of interests between these forces and remaining religious influences explains why Sunday closing laws have not been repealed outright.  Finally, some sociological thinkers might argue that the law should follow the times, and that, because Americans evidently want to be able to shop on Sunday, Sunday closing laws should not be enforced or obeyed, or should be repealed.</w:t>
      </w:r>
    </w:p>
    <w:p w:rsidR="0048004B" w:rsidRPr="002D24C6" w:rsidRDefault="004368B8">
      <w:pPr>
        <w:tabs>
          <w:tab w:val="left" w:pos="360"/>
          <w:tab w:val="left" w:pos="72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rPr>
        <w:t>8.</w:t>
      </w:r>
      <w:r>
        <w:rPr>
          <w:rFonts w:ascii="Times New Roman" w:hAnsi="Times New Roman"/>
          <w:sz w:val="22"/>
        </w:rPr>
        <w:tab/>
      </w:r>
      <w:r w:rsidR="002D24C6">
        <w:rPr>
          <w:rFonts w:ascii="Times New Roman" w:hAnsi="Times New Roman"/>
          <w:sz w:val="22"/>
        </w:rPr>
        <w:t xml:space="preserve">No.  </w:t>
      </w:r>
      <w:r w:rsidR="002D24C6" w:rsidRPr="002D24C6">
        <w:rPr>
          <w:rFonts w:ascii="Times New Roman" w:hAnsi="Times New Roman"/>
          <w:sz w:val="22"/>
        </w:rPr>
        <w:t xml:space="preserve">The Supreme Court of Arizona refused to abolish the common law family-purpose doctrine. </w:t>
      </w:r>
      <w:r w:rsidR="002D24C6">
        <w:rPr>
          <w:rFonts w:ascii="Times New Roman" w:hAnsi="Times New Roman"/>
          <w:sz w:val="22"/>
        </w:rPr>
        <w:t>The Court concluded that the family purpose doctrine served important social policy goals that provide an injured party recovery from a financially responsible person.  Arizona courts had been consistent in applying the rule and showed no indication of retreating from it.  In applying the rule to the particular facts of the case, it</w:t>
      </w:r>
      <w:r w:rsidR="002D24C6" w:rsidRPr="002D24C6">
        <w:rPr>
          <w:rFonts w:ascii="Times New Roman" w:hAnsi="Times New Roman"/>
          <w:sz w:val="22"/>
        </w:rPr>
        <w:t xml:space="preserve"> concluded that the parents should be liable under the doctrine even though their son had violated their directive by using the vehicle to “taxi” his friends. </w:t>
      </w:r>
      <w:r w:rsidR="002D24C6">
        <w:rPr>
          <w:rFonts w:ascii="Times New Roman" w:hAnsi="Times New Roman"/>
          <w:sz w:val="22"/>
        </w:rPr>
        <w:t>Because the parents maintained and furnished the vehicle for their son’s use, and Jason’s deviation from their instructions did not make the family-purpose doctrine inapplicable.</w:t>
      </w:r>
      <w:r w:rsidR="002D24C6" w:rsidRPr="002D24C6">
        <w:rPr>
          <w:rFonts w:ascii="Times New Roman" w:hAnsi="Times New Roman"/>
          <w:sz w:val="22"/>
        </w:rPr>
        <w:t xml:space="preserve"> </w:t>
      </w:r>
      <w:r w:rsidR="002D24C6" w:rsidRPr="002D24C6">
        <w:rPr>
          <w:rFonts w:ascii="Times New Roman" w:hAnsi="Times New Roman"/>
          <w:i/>
          <w:sz w:val="22"/>
        </w:rPr>
        <w:t>Young v. Beck</w:t>
      </w:r>
      <w:r w:rsidR="002D24C6" w:rsidRPr="002D24C6">
        <w:rPr>
          <w:rFonts w:ascii="Times New Roman" w:hAnsi="Times New Roman"/>
          <w:sz w:val="22"/>
        </w:rPr>
        <w:t>, 2011 Ariz. LEXIS 19 (Ariz. Sup. Ct. 2011).</w:t>
      </w:r>
    </w:p>
    <w:p w:rsidR="00BF182D" w:rsidRDefault="004368B8" w:rsidP="00B633AB">
      <w:pPr>
        <w:tabs>
          <w:tab w:val="left" w:pos="360"/>
          <w:tab w:val="left" w:pos="72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rPr>
        <w:t>9.</w:t>
      </w:r>
      <w:r>
        <w:rPr>
          <w:rFonts w:ascii="Times New Roman" w:hAnsi="Times New Roman"/>
          <w:sz w:val="22"/>
        </w:rPr>
        <w:tab/>
      </w:r>
      <w:r w:rsidR="002D24C6">
        <w:rPr>
          <w:rFonts w:ascii="Times New Roman" w:hAnsi="Times New Roman"/>
          <w:sz w:val="22"/>
        </w:rPr>
        <w:t>No.  The U.S. Supreme Court held that one who makes an oral complaint to his employer about a supposed violation of the Fair Labor Standards Act (FLSA) is protected by the “filed any complaint” language in the FLSA’s antiretaliation provision and, therefore, cannot be retaliated against by the employer for having made the complaint. The Court began with the text of the statute, finding that the word “filed” has different meanings in different contexts.  Looking to the dictionary definition</w:t>
      </w:r>
      <w:r w:rsidR="00BF182D">
        <w:rPr>
          <w:rFonts w:ascii="Times New Roman" w:hAnsi="Times New Roman"/>
          <w:sz w:val="22"/>
        </w:rPr>
        <w:t>s some of them anticipate uses associated with oral material in addition to written material.  In addition, the statute calls for the filing of “</w:t>
      </w:r>
      <w:r w:rsidR="00BF182D">
        <w:rPr>
          <w:rFonts w:ascii="Times New Roman" w:hAnsi="Times New Roman"/>
          <w:i/>
          <w:sz w:val="22"/>
        </w:rPr>
        <w:t>any</w:t>
      </w:r>
      <w:r w:rsidR="00BF182D">
        <w:rPr>
          <w:rFonts w:ascii="Times New Roman" w:hAnsi="Times New Roman"/>
          <w:sz w:val="22"/>
        </w:rPr>
        <w:t xml:space="preserve"> complaint,” not just written ones.  It also noted that the legislative purpose of vindicating the rights of employees, including those who are illiterate, less educated, and overworked (i.e., those workers who might have the most difficulty making written complaints and, thus, are more likely to make oral complaints).  </w:t>
      </w:r>
      <w:r w:rsidR="00BF182D">
        <w:rPr>
          <w:rFonts w:ascii="Times New Roman" w:hAnsi="Times New Roman"/>
          <w:i/>
          <w:sz w:val="22"/>
        </w:rPr>
        <w:t>Kasten v. Saint-Gobain Performance Plastics Corp.</w:t>
      </w:r>
      <w:r w:rsidR="00BF182D">
        <w:rPr>
          <w:rFonts w:ascii="Times New Roman" w:hAnsi="Times New Roman"/>
          <w:sz w:val="22"/>
        </w:rPr>
        <w:t>, 563 U.S. 1 (2011).</w:t>
      </w:r>
    </w:p>
    <w:p w:rsidR="00E9642E" w:rsidRDefault="00B633AB" w:rsidP="00B633AB">
      <w:pPr>
        <w:tabs>
          <w:tab w:val="left" w:pos="360"/>
          <w:tab w:val="left" w:pos="720"/>
          <w:tab w:val="left" w:pos="1080"/>
          <w:tab w:val="left" w:pos="1440"/>
          <w:tab w:val="left" w:pos="1800"/>
          <w:tab w:val="left" w:pos="2160"/>
        </w:tabs>
        <w:spacing w:before="60"/>
        <w:ind w:left="1080" w:hanging="360"/>
        <w:rPr>
          <w:rFonts w:ascii="Times New Roman" w:hAnsi="Times New Roman"/>
          <w:sz w:val="22"/>
        </w:rPr>
      </w:pPr>
      <w:r>
        <w:rPr>
          <w:rFonts w:ascii="Times New Roman" w:hAnsi="Times New Roman"/>
          <w:sz w:val="22"/>
          <w:szCs w:val="22"/>
        </w:rPr>
        <w:t>10</w:t>
      </w:r>
      <w:r>
        <w:rPr>
          <w:rFonts w:ascii="Times New Roman" w:hAnsi="Times New Roman"/>
          <w:sz w:val="22"/>
        </w:rPr>
        <w:t>.</w:t>
      </w:r>
      <w:r>
        <w:rPr>
          <w:rFonts w:ascii="Times New Roman" w:hAnsi="Times New Roman"/>
          <w:sz w:val="22"/>
        </w:rPr>
        <w:tab/>
      </w:r>
      <w:r w:rsidR="00E9642E">
        <w:rPr>
          <w:rFonts w:ascii="Times New Roman" w:hAnsi="Times New Roman"/>
          <w:iCs/>
          <w:sz w:val="22"/>
          <w:szCs w:val="24"/>
        </w:rPr>
        <w:t xml:space="preserve">The U.S. Court of Appeals for the Ninth Circuit held that § 230 </w:t>
      </w:r>
      <w:r w:rsidR="00E9642E">
        <w:rPr>
          <w:rFonts w:ascii="Times New Roman" w:hAnsi="Times New Roman"/>
          <w:sz w:val="22"/>
        </w:rPr>
        <w:t>of the Communications Decency Act protected Roommate against Fair Housing Act liability for certain content posted on its website by users thereof, but, importantly, did not immunize Roommate against Fair Housing Act liability regarding statements as to which Roommate was an information content provider (as opposed to merely a provider of an interactive computer service).</w:t>
      </w:r>
      <w:r w:rsidR="00331AE4">
        <w:rPr>
          <w:rFonts w:ascii="Times New Roman" w:hAnsi="Times New Roman"/>
          <w:sz w:val="22"/>
        </w:rPr>
        <w:t xml:space="preserve"> The court stressed </w:t>
      </w:r>
      <w:r w:rsidR="00E9642E">
        <w:rPr>
          <w:rFonts w:ascii="Times New Roman" w:hAnsi="Times New Roman"/>
          <w:sz w:val="22"/>
        </w:rPr>
        <w:t>the distinction between an interactive computer services (ICS) provider and an ICS provider that also serves as an information content provider</w:t>
      </w:r>
      <w:r w:rsidR="00331AE4">
        <w:rPr>
          <w:rFonts w:ascii="Times New Roman" w:hAnsi="Times New Roman"/>
          <w:sz w:val="22"/>
        </w:rPr>
        <w:t>.  The distinction was important, the court observed, because</w:t>
      </w:r>
      <w:r w:rsidR="00E9642E">
        <w:rPr>
          <w:rFonts w:ascii="Times New Roman" w:hAnsi="Times New Roman"/>
          <w:sz w:val="22"/>
        </w:rPr>
        <w:t xml:space="preserve"> § 230 protects ICS providers against liability for statements posted by anoth</w:t>
      </w:r>
      <w:r w:rsidR="00331AE4">
        <w:rPr>
          <w:rFonts w:ascii="Times New Roman" w:hAnsi="Times New Roman"/>
          <w:sz w:val="22"/>
        </w:rPr>
        <w:t>er information content provider</w:t>
      </w:r>
      <w:r w:rsidR="00E9642E">
        <w:rPr>
          <w:rFonts w:ascii="Times New Roman" w:hAnsi="Times New Roman"/>
          <w:sz w:val="22"/>
        </w:rPr>
        <w:t xml:space="preserve"> but not against liability for the ICS provider’s own statements as an information content provider.</w:t>
      </w:r>
      <w:r w:rsidR="00331AE4">
        <w:rPr>
          <w:rFonts w:ascii="Times New Roman" w:hAnsi="Times New Roman"/>
          <w:sz w:val="22"/>
        </w:rPr>
        <w:t xml:space="preserve"> The specific directions Roommate provided users regarding information they needed to submit effectively made Roommate a co-maker of many of the statements posted by the users. It may be useful to ask students a slightly reformulated version of the question posed in the Cyberlaw in Action box earlier in the chapter: </w:t>
      </w:r>
      <w:r w:rsidR="00E9642E">
        <w:rPr>
          <w:rFonts w:ascii="Times New Roman" w:hAnsi="Times New Roman"/>
          <w:sz w:val="22"/>
        </w:rPr>
        <w:t xml:space="preserve">whether </w:t>
      </w:r>
      <w:r w:rsidR="00E9642E" w:rsidRPr="00A67E64">
        <w:rPr>
          <w:rFonts w:ascii="Times New Roman" w:hAnsi="Times New Roman"/>
          <w:i/>
          <w:sz w:val="22"/>
        </w:rPr>
        <w:t>Craigslist</w:t>
      </w:r>
      <w:r w:rsidR="00E9642E">
        <w:rPr>
          <w:rFonts w:ascii="Times New Roman" w:hAnsi="Times New Roman"/>
          <w:sz w:val="22"/>
        </w:rPr>
        <w:t xml:space="preserve"> </w:t>
      </w:r>
      <w:r w:rsidR="00331AE4">
        <w:rPr>
          <w:rFonts w:ascii="Times New Roman" w:hAnsi="Times New Roman"/>
          <w:sz w:val="22"/>
        </w:rPr>
        <w:t xml:space="preserve">(a decision discussed in the Cyberlaw box) </w:t>
      </w:r>
      <w:r w:rsidR="00E9642E">
        <w:rPr>
          <w:rFonts w:ascii="Times New Roman" w:hAnsi="Times New Roman"/>
          <w:sz w:val="22"/>
        </w:rPr>
        <w:t xml:space="preserve">and </w:t>
      </w:r>
      <w:r w:rsidR="00E9642E" w:rsidRPr="00A67E64">
        <w:rPr>
          <w:rFonts w:ascii="Times New Roman" w:hAnsi="Times New Roman"/>
          <w:i/>
          <w:sz w:val="22"/>
        </w:rPr>
        <w:t>Fair Housing Council</w:t>
      </w:r>
      <w:r w:rsidR="00E9642E">
        <w:rPr>
          <w:rFonts w:ascii="Times New Roman" w:hAnsi="Times New Roman"/>
          <w:sz w:val="22"/>
        </w:rPr>
        <w:t xml:space="preserve"> are inconsistent decisions, or whether they can be harmonized.  (They can be harmonized when one fully takes into account the language of § 230.  </w:t>
      </w:r>
      <w:r w:rsidR="00E9642E" w:rsidRPr="008A391B">
        <w:rPr>
          <w:rFonts w:ascii="Times New Roman" w:hAnsi="Times New Roman"/>
          <w:i/>
          <w:sz w:val="22"/>
        </w:rPr>
        <w:t>Craigslist</w:t>
      </w:r>
      <w:r w:rsidR="00E9642E">
        <w:rPr>
          <w:rFonts w:ascii="Times New Roman" w:hAnsi="Times New Roman"/>
          <w:i/>
          <w:sz w:val="22"/>
        </w:rPr>
        <w:t xml:space="preserve"> </w:t>
      </w:r>
      <w:r w:rsidR="00E9642E">
        <w:rPr>
          <w:rFonts w:ascii="Times New Roman" w:hAnsi="Times New Roman"/>
          <w:sz w:val="22"/>
        </w:rPr>
        <w:t xml:space="preserve">is a case in which the ICS provider (Craigslist) was only that.  It therefore could not be held liable for the information content posted by someone else.  In </w:t>
      </w:r>
      <w:r w:rsidR="00E9642E" w:rsidRPr="008A391B">
        <w:rPr>
          <w:rFonts w:ascii="Times New Roman" w:hAnsi="Times New Roman"/>
          <w:i/>
          <w:sz w:val="22"/>
        </w:rPr>
        <w:t>Fair Housing Council</w:t>
      </w:r>
      <w:r w:rsidR="00E9642E">
        <w:rPr>
          <w:rFonts w:ascii="Times New Roman" w:hAnsi="Times New Roman"/>
          <w:sz w:val="22"/>
        </w:rPr>
        <w:t>, the ICS provider (Roommate) likewise could not be held liable for the information content posted by someone else.  However, Roommate also provided its own information content, and thus could be held liable for its own statements that arguably violated the Fair Housing Act.</w:t>
      </w:r>
      <w:r w:rsidR="00331AE4">
        <w:rPr>
          <w:rFonts w:ascii="Times New Roman" w:hAnsi="Times New Roman"/>
          <w:sz w:val="22"/>
        </w:rPr>
        <w:t xml:space="preserve">)  </w:t>
      </w:r>
      <w:r w:rsidR="00331AE4" w:rsidRPr="00331AE4">
        <w:rPr>
          <w:rFonts w:ascii="Times New Roman" w:hAnsi="Times New Roman"/>
          <w:i/>
          <w:sz w:val="22"/>
        </w:rPr>
        <w:t xml:space="preserve">Fair Housing Council of San Fernando Valley v. </w:t>
      </w:r>
      <w:r w:rsidR="00331AE4" w:rsidRPr="00354528">
        <w:rPr>
          <w:rFonts w:ascii="Times New Roman" w:hAnsi="Times New Roman"/>
          <w:i/>
          <w:sz w:val="22"/>
        </w:rPr>
        <w:t>Roommate.com</w:t>
      </w:r>
      <w:r w:rsidR="00331AE4" w:rsidRPr="00331AE4">
        <w:rPr>
          <w:rFonts w:ascii="Times New Roman" w:hAnsi="Times New Roman"/>
          <w:i/>
          <w:sz w:val="22"/>
        </w:rPr>
        <w:t>, LLC</w:t>
      </w:r>
      <w:r w:rsidR="00331AE4">
        <w:rPr>
          <w:rFonts w:ascii="Times New Roman" w:hAnsi="Times New Roman"/>
          <w:sz w:val="22"/>
        </w:rPr>
        <w:t>, 521 F.3d 1157 (9</w:t>
      </w:r>
      <w:r w:rsidR="00331AE4" w:rsidRPr="00331AE4">
        <w:rPr>
          <w:rFonts w:ascii="Times New Roman" w:hAnsi="Times New Roman"/>
          <w:sz w:val="22"/>
          <w:vertAlign w:val="superscript"/>
        </w:rPr>
        <w:t>th</w:t>
      </w:r>
      <w:r w:rsidR="00331AE4">
        <w:rPr>
          <w:rFonts w:ascii="Times New Roman" w:hAnsi="Times New Roman"/>
          <w:sz w:val="22"/>
        </w:rPr>
        <w:t xml:space="preserve"> Cir. 2008).</w:t>
      </w:r>
    </w:p>
    <w:p w:rsidR="000B55E0" w:rsidRDefault="000B55E0" w:rsidP="000B55E0">
      <w:pPr>
        <w:tabs>
          <w:tab w:val="left" w:pos="360"/>
          <w:tab w:val="left" w:pos="720"/>
          <w:tab w:val="left" w:pos="1080"/>
          <w:tab w:val="left" w:pos="1440"/>
          <w:tab w:val="left" w:pos="1800"/>
          <w:tab w:val="left" w:pos="2160"/>
        </w:tabs>
        <w:spacing w:before="60"/>
        <w:ind w:left="1080" w:hanging="1080"/>
        <w:rPr>
          <w:rFonts w:ascii="Times New Roman" w:hAnsi="Times New Roman"/>
          <w:iCs/>
          <w:sz w:val="22"/>
          <w:szCs w:val="24"/>
        </w:rPr>
      </w:pPr>
    </w:p>
    <w:p w:rsidR="004C6551" w:rsidRDefault="004C6551" w:rsidP="004C6551">
      <w:pPr>
        <w:tabs>
          <w:tab w:val="left" w:pos="360"/>
          <w:tab w:val="left" w:pos="720"/>
          <w:tab w:val="left" w:pos="1440"/>
          <w:tab w:val="left" w:pos="1800"/>
          <w:tab w:val="left" w:pos="2160"/>
        </w:tabs>
        <w:spacing w:before="60"/>
        <w:rPr>
          <w:rFonts w:ascii="Times New Roman" w:hAnsi="Times New Roman"/>
          <w:sz w:val="22"/>
        </w:rPr>
      </w:pPr>
    </w:p>
    <w:sectPr w:rsidR="004C6551" w:rsidSect="0086425A">
      <w:headerReference w:type="default" r:id="rId8"/>
      <w:footerReference w:type="even" r:id="rId9"/>
      <w:footerReference w:type="default" r:id="rId10"/>
      <w:endnotePr>
        <w:numFmt w:val="decimal"/>
      </w:endnotePr>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755" w:rsidRDefault="001A6755">
      <w:r>
        <w:separator/>
      </w:r>
    </w:p>
  </w:endnote>
  <w:endnote w:type="continuationSeparator" w:id="0">
    <w:p w:rsidR="001A6755" w:rsidRDefault="001A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996" w:rsidRDefault="002A1996">
    <w:pPr>
      <w:pStyle w:val="a6"/>
      <w:framePr w:wrap="around" w:vAnchor="text" w:hAnchor="margin" w:xAlign="outside" w:y="1"/>
      <w:rPr>
        <w:rStyle w:val="a8"/>
        <w:rFonts w:ascii="Times New Roman" w:hAnsi="Times New Roman"/>
        <w:sz w:val="20"/>
      </w:rPr>
    </w:pPr>
    <w:r>
      <w:rPr>
        <w:rStyle w:val="a8"/>
        <w:rFonts w:ascii="Times New Roman" w:hAnsi="Times New Roman"/>
        <w:sz w:val="20"/>
      </w:rPr>
      <w:fldChar w:fldCharType="begin"/>
    </w:r>
    <w:r>
      <w:rPr>
        <w:rStyle w:val="a8"/>
        <w:rFonts w:ascii="Times New Roman" w:hAnsi="Times New Roman"/>
        <w:sz w:val="20"/>
      </w:rPr>
      <w:instrText xml:space="preserve">PAGE  </w:instrText>
    </w:r>
    <w:r>
      <w:rPr>
        <w:rStyle w:val="a8"/>
        <w:rFonts w:ascii="Times New Roman" w:hAnsi="Times New Roman"/>
        <w:sz w:val="20"/>
      </w:rPr>
      <w:fldChar w:fldCharType="separate"/>
    </w:r>
    <w:r>
      <w:rPr>
        <w:rStyle w:val="a8"/>
        <w:rFonts w:ascii="Times New Roman" w:hAnsi="Times New Roman"/>
        <w:noProof/>
        <w:sz w:val="20"/>
      </w:rPr>
      <w:t>2</w:t>
    </w:r>
    <w:r>
      <w:rPr>
        <w:rStyle w:val="a8"/>
        <w:rFonts w:ascii="Times New Roman" w:hAnsi="Times New Roman"/>
        <w:sz w:val="20"/>
      </w:rPr>
      <w:fldChar w:fldCharType="end"/>
    </w:r>
  </w:p>
  <w:p w:rsidR="002A1996" w:rsidRDefault="002A1996">
    <w:pPr>
      <w:pStyle w:val="a6"/>
      <w:jc w:val="right"/>
      <w:rPr>
        <w:rFonts w:ascii="Times New Roman" w:hAnsi="Times New Roman"/>
        <w:i/>
        <w:sz w:val="20"/>
      </w:rPr>
    </w:pPr>
    <w:r>
      <w:rPr>
        <w:rFonts w:ascii="Times New Roman" w:hAnsi="Times New Roman"/>
        <w:i/>
        <w:sz w:val="20"/>
      </w:rPr>
      <w:t>Chapter 1: The Nature of Law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C87" w:rsidRDefault="002A1996" w:rsidP="001D0E28">
    <w:pPr>
      <w:pStyle w:val="a6"/>
      <w:jc w:val="center"/>
      <w:rPr>
        <w:rFonts w:ascii="Times New Roman" w:hAnsi="Times New Roman"/>
        <w:noProof/>
        <w:sz w:val="20"/>
      </w:rPr>
    </w:pPr>
    <w:r w:rsidRPr="001D0E28">
      <w:rPr>
        <w:rFonts w:ascii="Times New Roman" w:hAnsi="Times New Roman"/>
        <w:sz w:val="20"/>
      </w:rPr>
      <w:t>1-</w:t>
    </w:r>
    <w:r w:rsidRPr="001D0E28">
      <w:rPr>
        <w:rFonts w:ascii="Times New Roman" w:hAnsi="Times New Roman"/>
        <w:sz w:val="20"/>
      </w:rPr>
      <w:fldChar w:fldCharType="begin"/>
    </w:r>
    <w:r w:rsidRPr="001D0E28">
      <w:rPr>
        <w:rFonts w:ascii="Times New Roman" w:hAnsi="Times New Roman"/>
        <w:sz w:val="20"/>
      </w:rPr>
      <w:instrText xml:space="preserve"> PAGE   \* MERGEFORMAT </w:instrText>
    </w:r>
    <w:r w:rsidRPr="001D0E28">
      <w:rPr>
        <w:rFonts w:ascii="Times New Roman" w:hAnsi="Times New Roman"/>
        <w:sz w:val="20"/>
      </w:rPr>
      <w:fldChar w:fldCharType="separate"/>
    </w:r>
    <w:r w:rsidR="00B57AE4">
      <w:rPr>
        <w:rFonts w:ascii="Times New Roman" w:hAnsi="Times New Roman"/>
        <w:noProof/>
        <w:sz w:val="20"/>
      </w:rPr>
      <w:t>1</w:t>
    </w:r>
    <w:r w:rsidRPr="001D0E28">
      <w:rPr>
        <w:rFonts w:ascii="Times New Roman" w:hAnsi="Times New Roman"/>
        <w:noProof/>
        <w:sz w:val="20"/>
      </w:rPr>
      <w:fldChar w:fldCharType="end"/>
    </w:r>
  </w:p>
  <w:p w:rsidR="002A1996" w:rsidRPr="00383C87" w:rsidRDefault="00383C87" w:rsidP="00383C87">
    <w:pPr>
      <w:pStyle w:val="a6"/>
      <w:jc w:val="center"/>
      <w:rPr>
        <w:rFonts w:ascii="Times New Roman" w:hAnsi="Times New Roman"/>
        <w:sz w:val="16"/>
      </w:rPr>
    </w:pPr>
    <w:r w:rsidRPr="002C78A7">
      <w:rPr>
        <w:rFonts w:ascii="Times New Roman" w:hAnsi="Times New Roman"/>
        <w:noProof/>
        <w:sz w:val="16"/>
      </w:rPr>
      <w:t>© 20</w:t>
    </w:r>
    <w:r w:rsidR="002C78A7" w:rsidRPr="002C78A7">
      <w:rPr>
        <w:rFonts w:ascii="Times New Roman" w:hAnsi="Times New Roman"/>
        <w:noProof/>
        <w:sz w:val="16"/>
      </w:rPr>
      <w:t>1</w:t>
    </w:r>
    <w:r w:rsidR="002C78A7">
      <w:rPr>
        <w:rFonts w:ascii="Times New Roman" w:hAnsi="Times New Roman"/>
        <w:noProof/>
        <w:sz w:val="16"/>
      </w:rPr>
      <w:t>6</w:t>
    </w:r>
    <w:r>
      <w:rPr>
        <w:rFonts w:ascii="Times New Roman" w:hAnsi="Times New Roman"/>
        <w:noProof/>
        <w:sz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755" w:rsidRDefault="001A6755">
      <w:r>
        <w:separator/>
      </w:r>
    </w:p>
  </w:footnote>
  <w:footnote w:type="continuationSeparator" w:id="0">
    <w:p w:rsidR="001A6755" w:rsidRDefault="001A6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996" w:rsidRPr="001D0E28" w:rsidRDefault="002A1996">
    <w:pPr>
      <w:pStyle w:val="a5"/>
      <w:rPr>
        <w:rFonts w:ascii="Times New Roman" w:hAnsi="Times New Roman"/>
        <w:sz w:val="20"/>
      </w:rPr>
    </w:pPr>
    <w:r w:rsidRPr="001D0E28">
      <w:rPr>
        <w:rFonts w:ascii="Times New Roman" w:hAnsi="Times New Roman"/>
        <w:sz w:val="20"/>
      </w:rPr>
      <w:t>Chapter 01 - The Nature of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65889"/>
    <w:multiLevelType w:val="hybridMultilevel"/>
    <w:tmpl w:val="2A323784"/>
    <w:lvl w:ilvl="0" w:tplc="656E95F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43B5AF3"/>
    <w:multiLevelType w:val="hybridMultilevel"/>
    <w:tmpl w:val="93C6A7B8"/>
    <w:lvl w:ilvl="0" w:tplc="7116DA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0F18D8"/>
    <w:multiLevelType w:val="hybridMultilevel"/>
    <w:tmpl w:val="F6FA5B94"/>
    <w:lvl w:ilvl="0" w:tplc="3C4ED1F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9304359"/>
    <w:multiLevelType w:val="hybridMultilevel"/>
    <w:tmpl w:val="FA702B1C"/>
    <w:lvl w:ilvl="0" w:tplc="96326ADE">
      <w:start w:val="8"/>
      <w:numFmt w:val="upperLetter"/>
      <w:lvlText w:val="%1."/>
      <w:lvlJc w:val="left"/>
      <w:pPr>
        <w:tabs>
          <w:tab w:val="num" w:pos="1080"/>
        </w:tabs>
        <w:ind w:left="1080" w:hanging="360"/>
      </w:pPr>
      <w:rPr>
        <w:rFonts w:hint="default"/>
      </w:rPr>
    </w:lvl>
    <w:lvl w:ilvl="1" w:tplc="2DDA61AE">
      <w:start w:val="4"/>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6DC5EED"/>
    <w:multiLevelType w:val="hybridMultilevel"/>
    <w:tmpl w:val="E1285FBC"/>
    <w:lvl w:ilvl="0" w:tplc="35E4C2B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D965A10"/>
    <w:multiLevelType w:val="hybridMultilevel"/>
    <w:tmpl w:val="271A6C92"/>
    <w:lvl w:ilvl="0" w:tplc="270EC3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F001BF6"/>
    <w:multiLevelType w:val="hybridMultilevel"/>
    <w:tmpl w:val="66286766"/>
    <w:lvl w:ilvl="0" w:tplc="FB929B90">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A9F5634"/>
    <w:multiLevelType w:val="hybridMultilevel"/>
    <w:tmpl w:val="CAD878F8"/>
    <w:lvl w:ilvl="0" w:tplc="35E4C2B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4420B2D"/>
    <w:multiLevelType w:val="hybridMultilevel"/>
    <w:tmpl w:val="3B9E8B46"/>
    <w:lvl w:ilvl="0" w:tplc="35E4C2B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722C567E"/>
    <w:multiLevelType w:val="hybridMultilevel"/>
    <w:tmpl w:val="FD2C0618"/>
    <w:lvl w:ilvl="0" w:tplc="FEBADEB0">
      <w:start w:val="10"/>
      <w:numFmt w:val="decimal"/>
      <w:lvlText w:val="%1."/>
      <w:lvlJc w:val="left"/>
      <w:pPr>
        <w:tabs>
          <w:tab w:val="num" w:pos="1080"/>
        </w:tabs>
        <w:ind w:left="1080" w:hanging="360"/>
      </w:pPr>
      <w:rPr>
        <w:rFonts w:hint="default"/>
      </w:rPr>
    </w:lvl>
    <w:lvl w:ilvl="1" w:tplc="0C06C754">
      <w:start w:val="5"/>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2"/>
  </w:num>
  <w:num w:numId="4">
    <w:abstractNumId w:val="0"/>
  </w:num>
  <w:num w:numId="5">
    <w:abstractNumId w:val="3"/>
  </w:num>
  <w:num w:numId="6">
    <w:abstractNumId w:val="9"/>
  </w:num>
  <w:num w:numId="7">
    <w:abstractNumId w:val="5"/>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2F"/>
    <w:rsid w:val="00012417"/>
    <w:rsid w:val="000136D8"/>
    <w:rsid w:val="000329BB"/>
    <w:rsid w:val="000353A1"/>
    <w:rsid w:val="000B022A"/>
    <w:rsid w:val="000B55E0"/>
    <w:rsid w:val="000C7502"/>
    <w:rsid w:val="000D017D"/>
    <w:rsid w:val="000D673B"/>
    <w:rsid w:val="000D792E"/>
    <w:rsid w:val="000F6E0D"/>
    <w:rsid w:val="0013225A"/>
    <w:rsid w:val="001411CB"/>
    <w:rsid w:val="001642B8"/>
    <w:rsid w:val="001660D9"/>
    <w:rsid w:val="001A6755"/>
    <w:rsid w:val="001C37B8"/>
    <w:rsid w:val="001D0E28"/>
    <w:rsid w:val="001D28DF"/>
    <w:rsid w:val="0021204F"/>
    <w:rsid w:val="00241E8F"/>
    <w:rsid w:val="00246C46"/>
    <w:rsid w:val="00262E7C"/>
    <w:rsid w:val="002703D5"/>
    <w:rsid w:val="002A031B"/>
    <w:rsid w:val="002A1996"/>
    <w:rsid w:val="002C0603"/>
    <w:rsid w:val="002C78A7"/>
    <w:rsid w:val="002D24C6"/>
    <w:rsid w:val="002D4A4F"/>
    <w:rsid w:val="002E5D68"/>
    <w:rsid w:val="002F742A"/>
    <w:rsid w:val="00300F5A"/>
    <w:rsid w:val="003105DF"/>
    <w:rsid w:val="003226E2"/>
    <w:rsid w:val="00331AE4"/>
    <w:rsid w:val="00351731"/>
    <w:rsid w:val="00354528"/>
    <w:rsid w:val="00362A75"/>
    <w:rsid w:val="0037512F"/>
    <w:rsid w:val="00383C87"/>
    <w:rsid w:val="003C0F45"/>
    <w:rsid w:val="003C72CA"/>
    <w:rsid w:val="003E54F2"/>
    <w:rsid w:val="003F09E1"/>
    <w:rsid w:val="00423AB9"/>
    <w:rsid w:val="004368B8"/>
    <w:rsid w:val="00442212"/>
    <w:rsid w:val="00456B87"/>
    <w:rsid w:val="00457ED6"/>
    <w:rsid w:val="0046378C"/>
    <w:rsid w:val="0047499F"/>
    <w:rsid w:val="0048004B"/>
    <w:rsid w:val="00493C00"/>
    <w:rsid w:val="004B2D44"/>
    <w:rsid w:val="004C6551"/>
    <w:rsid w:val="004D183F"/>
    <w:rsid w:val="004D6B62"/>
    <w:rsid w:val="005217DF"/>
    <w:rsid w:val="00527BE8"/>
    <w:rsid w:val="0057488E"/>
    <w:rsid w:val="005755F2"/>
    <w:rsid w:val="00586381"/>
    <w:rsid w:val="005B58CF"/>
    <w:rsid w:val="005D65B6"/>
    <w:rsid w:val="005E0752"/>
    <w:rsid w:val="005E3A70"/>
    <w:rsid w:val="00600F46"/>
    <w:rsid w:val="006142B3"/>
    <w:rsid w:val="006468A7"/>
    <w:rsid w:val="00675DE7"/>
    <w:rsid w:val="0068199F"/>
    <w:rsid w:val="00693618"/>
    <w:rsid w:val="006B020A"/>
    <w:rsid w:val="006B3226"/>
    <w:rsid w:val="006C1C20"/>
    <w:rsid w:val="006D6959"/>
    <w:rsid w:val="006E433D"/>
    <w:rsid w:val="006E4946"/>
    <w:rsid w:val="006E4EB8"/>
    <w:rsid w:val="00701043"/>
    <w:rsid w:val="00714784"/>
    <w:rsid w:val="00752468"/>
    <w:rsid w:val="00793F20"/>
    <w:rsid w:val="007A33A4"/>
    <w:rsid w:val="007C7536"/>
    <w:rsid w:val="007E3BDA"/>
    <w:rsid w:val="0081284F"/>
    <w:rsid w:val="008200B8"/>
    <w:rsid w:val="0083412B"/>
    <w:rsid w:val="0084777B"/>
    <w:rsid w:val="0086425A"/>
    <w:rsid w:val="00867016"/>
    <w:rsid w:val="008A348B"/>
    <w:rsid w:val="008A391B"/>
    <w:rsid w:val="008B1F47"/>
    <w:rsid w:val="008B4318"/>
    <w:rsid w:val="008D7A64"/>
    <w:rsid w:val="008D7E3C"/>
    <w:rsid w:val="0092488A"/>
    <w:rsid w:val="0092720A"/>
    <w:rsid w:val="0092724A"/>
    <w:rsid w:val="0094105C"/>
    <w:rsid w:val="00967790"/>
    <w:rsid w:val="00992773"/>
    <w:rsid w:val="009A3C80"/>
    <w:rsid w:val="009A4951"/>
    <w:rsid w:val="009A6A07"/>
    <w:rsid w:val="009D06DD"/>
    <w:rsid w:val="00A02EA9"/>
    <w:rsid w:val="00A51C8B"/>
    <w:rsid w:val="00A67E64"/>
    <w:rsid w:val="00A920E6"/>
    <w:rsid w:val="00A960CA"/>
    <w:rsid w:val="00AC72FC"/>
    <w:rsid w:val="00AF7C98"/>
    <w:rsid w:val="00B0709A"/>
    <w:rsid w:val="00B169C9"/>
    <w:rsid w:val="00B2592E"/>
    <w:rsid w:val="00B33CA1"/>
    <w:rsid w:val="00B3436C"/>
    <w:rsid w:val="00B57AE4"/>
    <w:rsid w:val="00B601A9"/>
    <w:rsid w:val="00B633AB"/>
    <w:rsid w:val="00B63903"/>
    <w:rsid w:val="00B6720E"/>
    <w:rsid w:val="00B7240B"/>
    <w:rsid w:val="00B95BE3"/>
    <w:rsid w:val="00BE2008"/>
    <w:rsid w:val="00BF0829"/>
    <w:rsid w:val="00BF172C"/>
    <w:rsid w:val="00BF182D"/>
    <w:rsid w:val="00BF241B"/>
    <w:rsid w:val="00C034B3"/>
    <w:rsid w:val="00C7079B"/>
    <w:rsid w:val="00C71CC6"/>
    <w:rsid w:val="00C92BCA"/>
    <w:rsid w:val="00C97147"/>
    <w:rsid w:val="00CB24DC"/>
    <w:rsid w:val="00CB40FE"/>
    <w:rsid w:val="00D37D9C"/>
    <w:rsid w:val="00D5112B"/>
    <w:rsid w:val="00D55D19"/>
    <w:rsid w:val="00DE319F"/>
    <w:rsid w:val="00DE3BC2"/>
    <w:rsid w:val="00DF6CB7"/>
    <w:rsid w:val="00E07817"/>
    <w:rsid w:val="00E16443"/>
    <w:rsid w:val="00E26165"/>
    <w:rsid w:val="00E451E6"/>
    <w:rsid w:val="00E62DD3"/>
    <w:rsid w:val="00E74EE7"/>
    <w:rsid w:val="00E852E3"/>
    <w:rsid w:val="00E9642E"/>
    <w:rsid w:val="00EA316C"/>
    <w:rsid w:val="00EA694E"/>
    <w:rsid w:val="00EB38F0"/>
    <w:rsid w:val="00EB4842"/>
    <w:rsid w:val="00ED5745"/>
    <w:rsid w:val="00F10D2C"/>
    <w:rsid w:val="00F15A5A"/>
    <w:rsid w:val="00F94137"/>
    <w:rsid w:val="00FB2807"/>
    <w:rsid w:val="00FB3CD4"/>
    <w:rsid w:val="00FC3D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4E73FA70-6BAF-4C97-8975-7EBEFEDF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Courier" w:hAnsi="Courier"/>
      <w:snapToGrid w:val="0"/>
      <w:sz w:val="24"/>
      <w:lang w:eastAsia="en-US"/>
    </w:rPr>
  </w:style>
  <w:style w:type="paragraph" w:styleId="1">
    <w:name w:val="heading 1"/>
    <w:basedOn w:val="a"/>
    <w:next w:val="a"/>
    <w:qFormat/>
    <w:pPr>
      <w:keepNext/>
      <w:tabs>
        <w:tab w:val="center" w:pos="4392"/>
      </w:tabs>
      <w:jc w:val="right"/>
      <w:outlineLvl w:val="0"/>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style>
  <w:style w:type="paragraph" w:styleId="a4">
    <w:name w:val="Body Text Indent"/>
    <w:basedOn w:val="a"/>
    <w:pPr>
      <w:tabs>
        <w:tab w:val="left" w:pos="993"/>
        <w:tab w:val="left" w:pos="1425"/>
        <w:tab w:val="left" w:pos="1857"/>
        <w:tab w:val="left" w:pos="2289"/>
        <w:tab w:val="left" w:pos="2721"/>
      </w:tabs>
      <w:ind w:left="993"/>
    </w:pPr>
    <w:rPr>
      <w:rFonts w:ascii="Times New Roman" w:hAnsi="Times New Roman"/>
      <w:sz w:val="22"/>
    </w:rPr>
  </w:style>
  <w:style w:type="paragraph" w:styleId="2">
    <w:name w:val="Body Text Indent 2"/>
    <w:basedOn w:val="a"/>
    <w:pPr>
      <w:tabs>
        <w:tab w:val="left" w:pos="360"/>
        <w:tab w:val="left" w:pos="720"/>
        <w:tab w:val="left" w:pos="1080"/>
      </w:tabs>
      <w:spacing w:before="60"/>
      <w:ind w:left="1080" w:hanging="360"/>
    </w:pPr>
    <w:rPr>
      <w:rFonts w:ascii="Times New Roman" w:hAnsi="Times New Roman"/>
      <w:sz w:val="22"/>
    </w:rPr>
  </w:style>
  <w:style w:type="paragraph" w:styleId="3">
    <w:name w:val="Body Text Indent 3"/>
    <w:basedOn w:val="a"/>
    <w:pPr>
      <w:tabs>
        <w:tab w:val="left" w:pos="360"/>
        <w:tab w:val="left" w:pos="720"/>
        <w:tab w:val="left" w:pos="1080"/>
      </w:tabs>
      <w:spacing w:before="60"/>
      <w:ind w:left="1440" w:hanging="360"/>
    </w:pPr>
    <w:rPr>
      <w:rFonts w:ascii="Times New Roman" w:hAnsi="Times New Roman"/>
      <w:sz w:val="22"/>
    </w:rPr>
  </w:style>
  <w:style w:type="paragraph" w:styleId="a5">
    <w:name w:val="header"/>
    <w:basedOn w:val="a"/>
    <w:pPr>
      <w:tabs>
        <w:tab w:val="center" w:pos="4320"/>
        <w:tab w:val="right" w:pos="8640"/>
      </w:tabs>
    </w:pPr>
  </w:style>
  <w:style w:type="paragraph" w:styleId="a6">
    <w:name w:val="footer"/>
    <w:basedOn w:val="a"/>
    <w:link w:val="a7"/>
    <w:uiPriority w:val="99"/>
    <w:pPr>
      <w:tabs>
        <w:tab w:val="center" w:pos="4320"/>
        <w:tab w:val="right" w:pos="8640"/>
      </w:tabs>
    </w:pPr>
  </w:style>
  <w:style w:type="character" w:styleId="a8">
    <w:name w:val="page number"/>
    <w:basedOn w:val="a0"/>
  </w:style>
  <w:style w:type="paragraph" w:styleId="a9">
    <w:name w:val="Balloon Text"/>
    <w:basedOn w:val="a"/>
    <w:link w:val="aa"/>
    <w:rsid w:val="006B3226"/>
    <w:rPr>
      <w:rFonts w:ascii="Tahoma" w:hAnsi="Tahoma" w:cs="Tahoma"/>
      <w:sz w:val="16"/>
      <w:szCs w:val="16"/>
    </w:rPr>
  </w:style>
  <w:style w:type="character" w:customStyle="1" w:styleId="aa">
    <w:name w:val="批注框文本 字符"/>
    <w:link w:val="a9"/>
    <w:rsid w:val="006B3226"/>
    <w:rPr>
      <w:rFonts w:ascii="Tahoma" w:hAnsi="Tahoma" w:cs="Tahoma"/>
      <w:snapToGrid w:val="0"/>
      <w:sz w:val="16"/>
      <w:szCs w:val="16"/>
    </w:rPr>
  </w:style>
  <w:style w:type="character" w:customStyle="1" w:styleId="a7">
    <w:name w:val="页脚 字符"/>
    <w:link w:val="a6"/>
    <w:uiPriority w:val="99"/>
    <w:rsid w:val="001D0E28"/>
    <w:rPr>
      <w:rFonts w:ascii="Courier" w:hAnsi="Courier"/>
      <w:snapToGrid w:val="0"/>
      <w:sz w:val="24"/>
    </w:rPr>
  </w:style>
  <w:style w:type="character" w:styleId="ab">
    <w:name w:val="Hyperlink"/>
    <w:rsid w:val="001D0E28"/>
    <w:rPr>
      <w:color w:val="0000FF"/>
      <w:u w:val="single"/>
    </w:rPr>
  </w:style>
  <w:style w:type="character" w:styleId="ac">
    <w:name w:val="FollowedHyperlink"/>
    <w:rsid w:val="001D0E2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A0842-3DDE-40F8-89DD-14E59890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6980</Words>
  <Characters>39788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CHAPTER 1</vt:lpstr>
    </vt:vector>
  </TitlesOfParts>
  <Company>The McGraw-Hill Companies</Company>
  <LinksUpToDate>false</LinksUpToDate>
  <CharactersWithSpaces>46675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McGraw-Hill Higher Education</dc:creator>
  <cp:keywords/>
  <cp:lastModifiedBy>Szymanski, Jaroslaw</cp:lastModifiedBy>
  <cp:revision>2</cp:revision>
  <cp:lastPrinted>2011-12-02T17:34:00Z</cp:lastPrinted>
  <dcterms:created xsi:type="dcterms:W3CDTF">2019-04-13T08:54:00Z</dcterms:created>
  <dcterms:modified xsi:type="dcterms:W3CDTF">2019-04-13T08:54:00Z</dcterms:modified>
</cp:coreProperties>
</file>